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pacing w:line="600" w:lineRule="exact"/>
        <w:ind w:left="0" w:leftChars="0" w:right="0" w:rightChars="0" w:firstLine="740" w:firstLineChars="200"/>
        <w:textAlignment w:val="auto"/>
        <w:rPr>
          <w:rFonts w:ascii="微软雅黑" w:hAnsi="微软雅黑" w:eastAsia="微软雅黑" w:cs="微软雅黑"/>
          <w:b/>
          <w:i w:val="0"/>
          <w:caps w:val="0"/>
          <w:color w:val="333333"/>
          <w:spacing w:val="0"/>
          <w:sz w:val="37"/>
          <w:szCs w:val="37"/>
          <w:shd w:val="clear" w:fill="FFFFFF"/>
        </w:rPr>
      </w:pPr>
    </w:p>
    <w:p>
      <w:pPr>
        <w:keepNext w:val="0"/>
        <w:keepLines w:val="0"/>
        <w:pageBreakBefore w:val="0"/>
        <w:kinsoku/>
        <w:wordWrap/>
        <w:overflowPunct/>
        <w:topLinePunct w:val="0"/>
        <w:autoSpaceDE/>
        <w:autoSpaceDN/>
        <w:bidi w:val="0"/>
        <w:adjustRightInd/>
        <w:spacing w:line="600" w:lineRule="exact"/>
        <w:ind w:left="0" w:leftChars="0" w:right="0" w:rightChars="0" w:firstLine="740" w:firstLineChars="200"/>
        <w:jc w:val="center"/>
        <w:textAlignment w:val="auto"/>
        <w:rPr>
          <w:rFonts w:ascii="微软雅黑" w:hAnsi="微软雅黑" w:eastAsia="微软雅黑" w:cs="微软雅黑"/>
          <w:b/>
          <w:i w:val="0"/>
          <w:caps w:val="0"/>
          <w:color w:val="333333"/>
          <w:spacing w:val="0"/>
          <w:sz w:val="37"/>
          <w:szCs w:val="37"/>
          <w:shd w:val="clear" w:fill="FFFFFF"/>
        </w:rPr>
      </w:pPr>
    </w:p>
    <w:p>
      <w:pPr>
        <w:keepNext w:val="0"/>
        <w:keepLines w:val="0"/>
        <w:pageBreakBefore w:val="0"/>
        <w:kinsoku/>
        <w:wordWrap/>
        <w:overflowPunct/>
        <w:topLinePunct w:val="0"/>
        <w:autoSpaceDE/>
        <w:autoSpaceDN/>
        <w:bidi w:val="0"/>
        <w:adjustRightInd/>
        <w:spacing w:line="600" w:lineRule="exact"/>
        <w:ind w:left="0" w:leftChars="0" w:right="0" w:rightChars="0"/>
        <w:jc w:val="center"/>
        <w:textAlignment w:val="auto"/>
        <w:rPr>
          <w:rFonts w:hint="eastAsia" w:ascii="方正小标宋简体" w:hAnsi="方正小标宋简体" w:eastAsia="方正小标宋简体" w:cs="方正小标宋简体"/>
          <w:b/>
          <w:i w:val="0"/>
          <w:caps w:val="0"/>
          <w:color w:val="333333"/>
          <w:spacing w:val="0"/>
          <w:sz w:val="44"/>
          <w:szCs w:val="44"/>
          <w:shd w:val="clear" w:fill="FFFFFF"/>
        </w:rPr>
      </w:pPr>
      <w:r>
        <w:rPr>
          <w:rFonts w:hint="eastAsia" w:ascii="方正小标宋简体" w:hAnsi="方正小标宋简体" w:eastAsia="方正小标宋简体" w:cs="方正小标宋简体"/>
          <w:b/>
          <w:i w:val="0"/>
          <w:caps w:val="0"/>
          <w:color w:val="333333"/>
          <w:spacing w:val="0"/>
          <w:sz w:val="44"/>
          <w:szCs w:val="44"/>
          <w:shd w:val="clear" w:fill="FFFFFF"/>
        </w:rPr>
        <w:t>内蒙古自治区民族事务委员会20</w:t>
      </w:r>
      <w:r>
        <w:rPr>
          <w:rFonts w:hint="eastAsia" w:ascii="方正小标宋简体" w:hAnsi="方正小标宋简体" w:eastAsia="方正小标宋简体" w:cs="方正小标宋简体"/>
          <w:b/>
          <w:i w:val="0"/>
          <w:caps w:val="0"/>
          <w:color w:val="333333"/>
          <w:spacing w:val="0"/>
          <w:sz w:val="44"/>
          <w:szCs w:val="44"/>
          <w:shd w:val="clear" w:fill="FFFFFF"/>
          <w:lang w:val="en-US" w:eastAsia="zh-CN"/>
        </w:rPr>
        <w:t>22</w:t>
      </w:r>
      <w:r>
        <w:rPr>
          <w:rFonts w:hint="eastAsia" w:ascii="方正小标宋简体" w:hAnsi="方正小标宋简体" w:eastAsia="方正小标宋简体" w:cs="方正小标宋简体"/>
          <w:b/>
          <w:i w:val="0"/>
          <w:caps w:val="0"/>
          <w:color w:val="333333"/>
          <w:spacing w:val="0"/>
          <w:sz w:val="44"/>
          <w:szCs w:val="44"/>
          <w:shd w:val="clear" w:fill="FFFFFF"/>
        </w:rPr>
        <w:t>年</w:t>
      </w:r>
    </w:p>
    <w:p>
      <w:pPr>
        <w:keepNext w:val="0"/>
        <w:keepLines w:val="0"/>
        <w:pageBreakBefore w:val="0"/>
        <w:kinsoku/>
        <w:wordWrap/>
        <w:overflowPunct/>
        <w:topLinePunct w:val="0"/>
        <w:autoSpaceDE/>
        <w:autoSpaceDN/>
        <w:bidi w:val="0"/>
        <w:adjustRightInd/>
        <w:spacing w:line="600" w:lineRule="exact"/>
        <w:ind w:left="0" w:leftChars="0" w:right="0" w:rightChars="0"/>
        <w:jc w:val="center"/>
        <w:textAlignment w:val="auto"/>
        <w:rPr>
          <w:rFonts w:hint="eastAsia" w:ascii="方正小标宋简体" w:hAnsi="方正小标宋简体" w:eastAsia="方正小标宋简体" w:cs="方正小标宋简体"/>
          <w:b/>
          <w:i w:val="0"/>
          <w:caps w:val="0"/>
          <w:color w:val="333333"/>
          <w:spacing w:val="0"/>
          <w:sz w:val="44"/>
          <w:szCs w:val="44"/>
          <w:shd w:val="clear" w:fill="FFFFFF"/>
        </w:rPr>
      </w:pPr>
      <w:r>
        <w:rPr>
          <w:rFonts w:hint="eastAsia" w:ascii="方正小标宋简体" w:hAnsi="方正小标宋简体" w:eastAsia="方正小标宋简体" w:cs="方正小标宋简体"/>
          <w:b/>
          <w:i w:val="0"/>
          <w:caps w:val="0"/>
          <w:color w:val="333333"/>
          <w:spacing w:val="0"/>
          <w:sz w:val="44"/>
          <w:szCs w:val="44"/>
          <w:shd w:val="clear" w:fill="FFFFFF"/>
        </w:rPr>
        <w:t>政府信息公开工作年度报告</w:t>
      </w:r>
    </w:p>
    <w:p>
      <w:pPr>
        <w:keepNext w:val="0"/>
        <w:keepLines w:val="0"/>
        <w:pageBreakBefore w:val="0"/>
        <w:kinsoku/>
        <w:wordWrap/>
        <w:overflowPunct/>
        <w:topLinePunct w:val="0"/>
        <w:autoSpaceDE/>
        <w:autoSpaceDN/>
        <w:bidi w:val="0"/>
        <w:adjustRightInd/>
        <w:spacing w:line="600" w:lineRule="exact"/>
        <w:ind w:left="0" w:leftChars="0" w:right="0" w:rightChars="0"/>
        <w:jc w:val="center"/>
        <w:textAlignment w:val="auto"/>
        <w:rPr>
          <w:rFonts w:hint="eastAsia" w:ascii="微软雅黑" w:hAnsi="微软雅黑" w:eastAsia="微软雅黑" w:cs="微软雅黑"/>
          <w:b/>
          <w:i w:val="0"/>
          <w:caps w:val="0"/>
          <w:color w:val="333333"/>
          <w:spacing w:val="0"/>
          <w:sz w:val="37"/>
          <w:szCs w:val="37"/>
          <w:shd w:val="clear" w:fill="FFFFFF"/>
        </w:rPr>
      </w:pP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本年度报告根据《中华人民共和国政府信息公开条</w:t>
      </w:r>
      <w:bookmarkStart w:id="0" w:name="_GoBack"/>
      <w:bookmarkEnd w:id="0"/>
      <w:r>
        <w:rPr>
          <w:rFonts w:hint="eastAsia" w:ascii="仿宋_GB2312" w:eastAsia="仿宋_GB2312"/>
          <w:sz w:val="32"/>
          <w:szCs w:val="32"/>
        </w:rPr>
        <w:t>例》《国务院办公厅政府信息与政务公开办公室关于印发&lt;中华人民共和国政府信息公开工作年度报告格式&gt;的通知》（国办公开办函〔2021〕30号）要求制作。本年度报告电子版可以从自治区民族事务委员会门户网站（http://mw.nmg.gov.cn/）下载。如对本年度报告有疑问，请与自治区民委办公室联系（电话：0471-6945135，电子邮箱：nmgmwxx@163.com ）。 </w:t>
      </w:r>
    </w:p>
    <w:p>
      <w:pPr>
        <w:keepNext w:val="0"/>
        <w:keepLines w:val="0"/>
        <w:pageBreakBefore w:val="0"/>
        <w:numPr>
          <w:ilvl w:val="0"/>
          <w:numId w:val="1"/>
        </w:numPr>
        <w:kinsoku/>
        <w:wordWrap/>
        <w:overflowPunct/>
        <w:topLinePunct w:val="0"/>
        <w:autoSpaceDE/>
        <w:autoSpaceDN/>
        <w:bidi w:val="0"/>
        <w:adjustRightInd/>
        <w:spacing w:line="60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总体情况</w:t>
      </w:r>
    </w:p>
    <w:p>
      <w:pPr>
        <w:keepNext w:val="0"/>
        <w:keepLines w:val="0"/>
        <w:pageBreakBefore w:val="0"/>
        <w:kinsoku/>
        <w:wordWrap/>
        <w:overflowPunct/>
        <w:topLinePunct w:val="0"/>
        <w:autoSpaceDE/>
        <w:autoSpaceDN/>
        <w:bidi w:val="0"/>
        <w:adjustRightInd/>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2022年自治区民委在自治区党委、政府的正确领导下，以习近平新时代中国特色社会主义思想为指导，认真贯彻落实习近平总书记关于加强和改进民族工作的重要思想，全面贯彻落实党的二十大精神和中央、自治区党委民族工作会议精神，以铸牢中华民族共同体意识为主线，认真抓细抓实政府信息公开各项工作，不断推进</w:t>
      </w:r>
      <w:r>
        <w:rPr>
          <w:rFonts w:hint="eastAsia" w:ascii="仿宋_GB2312" w:hAnsi="等线" w:eastAsia="仿宋_GB2312"/>
          <w:sz w:val="32"/>
          <w:szCs w:val="32"/>
        </w:rPr>
        <w:t>政府信息公开工作标准化、规范化</w:t>
      </w:r>
      <w:r>
        <w:rPr>
          <w:rFonts w:hint="eastAsia" w:ascii="仿宋_GB2312" w:hAnsi="等线" w:eastAsia="仿宋_GB2312"/>
          <w:sz w:val="32"/>
          <w:szCs w:val="32"/>
          <w:lang w:eastAsia="zh-CN"/>
        </w:rPr>
        <w:t>，</w:t>
      </w:r>
      <w:r>
        <w:rPr>
          <w:rFonts w:hint="eastAsia" w:ascii="仿宋_GB2312" w:eastAsia="仿宋_GB2312"/>
          <w:sz w:val="32"/>
          <w:szCs w:val="32"/>
          <w:lang w:eastAsia="zh-CN"/>
        </w:rPr>
        <w:t>各项工作取得了新成绩</w:t>
      </w:r>
      <w:r>
        <w:rPr>
          <w:rFonts w:hint="eastAsia" w:ascii="仿宋_GB2312" w:eastAsia="仿宋_GB2312"/>
          <w:sz w:val="32"/>
          <w:szCs w:val="32"/>
        </w:rPr>
        <w:t>。</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仿宋_GB2312" w:eastAsia="仿宋_GB2312"/>
          <w:sz w:val="32"/>
          <w:szCs w:val="32"/>
          <w:lang w:val="en-US" w:eastAsia="zh-CN"/>
        </w:rPr>
      </w:pPr>
      <w:r>
        <w:rPr>
          <w:rFonts w:hint="eastAsia" w:ascii="楷体" w:hAnsi="楷体" w:eastAsia="楷体"/>
          <w:sz w:val="32"/>
          <w:szCs w:val="32"/>
          <w:lang w:eastAsia="zh-CN"/>
        </w:rPr>
        <w:t>（一）主动公开情况。</w:t>
      </w:r>
      <w:r>
        <w:rPr>
          <w:rFonts w:hint="eastAsia" w:ascii="仿宋_GB2312" w:eastAsia="仿宋_GB2312"/>
          <w:sz w:val="32"/>
          <w:szCs w:val="32"/>
          <w:lang w:val="en-US" w:eastAsia="zh-CN"/>
        </w:rPr>
        <w:t>围绕贯彻落实党的二十大精神，深入贯彻落实中央、自治区党委民族工作会议精神，抓好政府信息公开工作。在主页显著位置设置贯彻落实党的二十大专栏，贯彻落实中央民族工作会议精神专栏，即时刊发全区民委系统贯彻落实党的二十大精神和中央、自治区党委民族工作会议精神相关工作动态等。全年公开各类信息757条，其中，概况类信息24条、政务动态信息650条。公布部门文件、政策文件、规范性文件5件，发布各类政策解读信息16条，“在线访谈”5期。</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firstLine="640"/>
        <w:textAlignment w:val="auto"/>
        <w:rPr>
          <w:rFonts w:hint="eastAsia" w:ascii="仿宋_GB2312" w:eastAsia="仿宋_GB2312"/>
          <w:sz w:val="32"/>
          <w:szCs w:val="32"/>
          <w:lang w:val="en-US" w:eastAsia="zh-CN"/>
        </w:rPr>
      </w:pPr>
      <w:r>
        <w:rPr>
          <w:rFonts w:hint="eastAsia" w:ascii="楷体" w:hAnsi="楷体" w:eastAsia="楷体"/>
          <w:sz w:val="32"/>
          <w:szCs w:val="32"/>
          <w:lang w:eastAsia="zh-CN"/>
        </w:rPr>
        <w:t>（二）依申请公开情况。</w:t>
      </w:r>
      <w:r>
        <w:rPr>
          <w:rFonts w:hint="eastAsia" w:ascii="仿宋_GB2312" w:hAnsi="楷体" w:eastAsia="仿宋_GB2312"/>
          <w:sz w:val="32"/>
          <w:szCs w:val="32"/>
        </w:rPr>
        <w:t>进一步规范政府信息依申请公开工作，持续提升政府信息公开在线办理水平</w:t>
      </w:r>
      <w:r>
        <w:rPr>
          <w:rFonts w:hint="eastAsia" w:ascii="仿宋_GB2312" w:hAnsi="楷体" w:eastAsia="仿宋_GB2312"/>
          <w:sz w:val="32"/>
          <w:szCs w:val="32"/>
          <w:lang w:eastAsia="zh-CN"/>
        </w:rPr>
        <w:t>，压缩办理时限</w:t>
      </w:r>
      <w:r>
        <w:rPr>
          <w:rFonts w:hint="eastAsia" w:ascii="仿宋_GB2312" w:hAnsi="楷体" w:eastAsia="仿宋_GB2312"/>
          <w:sz w:val="32"/>
          <w:szCs w:val="32"/>
        </w:rPr>
        <w:t>。</w:t>
      </w:r>
      <w:r>
        <w:rPr>
          <w:rFonts w:hint="eastAsia" w:ascii="仿宋_GB2312" w:eastAsia="仿宋_GB2312"/>
          <w:sz w:val="32"/>
          <w:szCs w:val="32"/>
          <w:lang w:val="en-US" w:eastAsia="zh-CN"/>
        </w:rPr>
        <w:t>全年收到群众来信2封、依申请公开事项3项，全部按时予以答复。加强互动交流，收到网友留言18条，回复18条，做到了有问必答、留言必回。开展民意征集、在线调查6期，</w:t>
      </w:r>
      <w:r>
        <w:rPr>
          <w:rFonts w:hint="eastAsia" w:ascii="仿宋_GB2312" w:hAnsi="仿宋_GB2312" w:eastAsia="仿宋_GB2312" w:cs="仿宋_GB2312"/>
          <w:color w:val="000000"/>
          <w:sz w:val="32"/>
          <w:szCs w:val="32"/>
          <w:lang w:val="en-US" w:eastAsia="zh-CN"/>
        </w:rPr>
        <w:t>收到意见建议485条，</w:t>
      </w:r>
      <w:r>
        <w:rPr>
          <w:rFonts w:hint="eastAsia" w:ascii="仿宋_GB2312" w:eastAsia="仿宋_GB2312"/>
          <w:sz w:val="32"/>
          <w:szCs w:val="32"/>
          <w:lang w:val="en-US" w:eastAsia="zh-CN"/>
        </w:rPr>
        <w:t>广泛征求社会各界对做好新时代党的民族工作意见建议。</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firstLine="640"/>
        <w:textAlignment w:val="auto"/>
        <w:rPr>
          <w:rFonts w:hint="eastAsia" w:ascii="仿宋_GB2312" w:eastAsia="仿宋_GB2312"/>
          <w:sz w:val="32"/>
          <w:szCs w:val="32"/>
          <w:lang w:val="en-US" w:eastAsia="zh-CN"/>
        </w:rPr>
      </w:pPr>
      <w:r>
        <w:rPr>
          <w:rFonts w:hint="eastAsia" w:ascii="楷体" w:hAnsi="楷体" w:eastAsia="楷体"/>
          <w:sz w:val="32"/>
          <w:szCs w:val="32"/>
          <w:lang w:eastAsia="zh-CN"/>
        </w:rPr>
        <w:t>（三）政府信息管理情况。</w:t>
      </w:r>
      <w:r>
        <w:rPr>
          <w:rFonts w:hint="eastAsia" w:ascii="仿宋_GB2312" w:eastAsia="仿宋_GB2312"/>
          <w:sz w:val="32"/>
          <w:szCs w:val="32"/>
          <w:lang w:val="en-US" w:eastAsia="zh-CN"/>
        </w:rPr>
        <w:t>严格执行政府信息公开保密审查、审批发布相关工作制度，严格信息发布审批流程，做到“发布必审”。制发《自治区民委关于进一步加强和改进政务信息工作的实施办法》，从加强组织领导、建立信息员队伍、改进信息报送方式、建立培训交流制度、建立调度机制、建立目标责任制度、坚持通报考评制度等方面，对全区民委系统政务信息工作提出要求，压实各方责任，扎实推进信息管理工作科学化标准化规范化，推动提高政府信息公开质量。</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firstLine="640"/>
        <w:textAlignment w:val="auto"/>
        <w:rPr>
          <w:rFonts w:hint="eastAsia" w:ascii="仿宋_GB2312" w:eastAsia="仿宋_GB2312"/>
          <w:sz w:val="32"/>
          <w:szCs w:val="32"/>
          <w:lang w:val="en-US" w:eastAsia="zh-CN"/>
        </w:rPr>
      </w:pPr>
      <w:r>
        <w:rPr>
          <w:rFonts w:hint="eastAsia" w:ascii="楷体" w:hAnsi="楷体" w:eastAsia="楷体"/>
          <w:sz w:val="32"/>
          <w:szCs w:val="32"/>
          <w:lang w:eastAsia="zh-CN"/>
        </w:rPr>
        <w:t>（四）政府信息公开平台建设情况。</w:t>
      </w:r>
      <w:r>
        <w:rPr>
          <w:rFonts w:hint="eastAsia" w:ascii="仿宋_GB2312" w:eastAsia="仿宋_GB2312"/>
          <w:sz w:val="32"/>
          <w:szCs w:val="32"/>
          <w:lang w:val="en-US" w:eastAsia="zh-CN"/>
        </w:rPr>
        <w:t>坚持服务群众原则，优化“政务信息公开”专栏设置，新增“惠企政策”“其他对外服务事项”栏目，进一步提高政府信息公开工作针对性，突出服务属性。编制完成自治区民委政务资源共享平台目录14条、公共信息资源拟开放目录3条，并有序做好相关资源挂接。</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firstLine="64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sz w:val="32"/>
          <w:szCs w:val="32"/>
          <w:lang w:eastAsia="zh-CN"/>
        </w:rPr>
        <w:t>（五）监督保障情况。</w:t>
      </w:r>
      <w:r>
        <w:rPr>
          <w:rFonts w:hint="eastAsia" w:ascii="仿宋_GB2312" w:hAnsi="仿宋_GB2312" w:eastAsia="仿宋_GB2312" w:cs="仿宋_GB2312"/>
          <w:color w:val="000000"/>
          <w:sz w:val="32"/>
          <w:szCs w:val="32"/>
          <w:lang w:val="en-US" w:eastAsia="zh-CN"/>
        </w:rPr>
        <w:t>坚持查找漏洞、补齐短板的工作原则，针对近年来网络安全检查中发现的突出问题、薄弱环节和潜在风险，</w:t>
      </w:r>
      <w:r>
        <w:rPr>
          <w:rFonts w:hint="eastAsia" w:ascii="仿宋_GB2312" w:hAnsi="仿宋_GB2312" w:eastAsia="仿宋_GB2312" w:cs="仿宋_GB2312"/>
          <w:b w:val="0"/>
          <w:bCs w:val="0"/>
          <w:color w:val="000000"/>
          <w:sz w:val="32"/>
          <w:szCs w:val="32"/>
          <w:lang w:val="en-US" w:eastAsia="zh-CN"/>
        </w:rPr>
        <w:t>开展网络和数据安全自查。</w:t>
      </w:r>
      <w:r>
        <w:rPr>
          <w:rFonts w:hint="eastAsia" w:ascii="仿宋_GB2312" w:hAnsi="仿宋_GB2312" w:eastAsia="仿宋_GB2312" w:cs="仿宋_GB2312"/>
          <w:color w:val="000000"/>
          <w:sz w:val="32"/>
          <w:szCs w:val="32"/>
          <w:lang w:val="en-US" w:eastAsia="zh-CN"/>
        </w:rPr>
        <w:t>将网络安全工作纳入年度对处级领导班子、处级干部和党员干部考核的重要内容，将用网管网能力作为党政领导班子和领导干部考察的重要内容，</w:t>
      </w:r>
      <w:r>
        <w:rPr>
          <w:rFonts w:hint="eastAsia" w:ascii="仿宋_GB2312" w:hAnsi="仿宋_GB2312" w:eastAsia="仿宋_GB2312" w:cs="仿宋_GB2312"/>
          <w:b w:val="0"/>
          <w:bCs w:val="0"/>
          <w:color w:val="000000"/>
          <w:sz w:val="32"/>
          <w:szCs w:val="32"/>
          <w:lang w:val="en-US" w:eastAsia="zh-CN"/>
        </w:rPr>
        <w:t>切实提升用网管网能力，</w:t>
      </w:r>
      <w:r>
        <w:rPr>
          <w:rFonts w:hint="eastAsia" w:ascii="仿宋_GB2312" w:hAnsi="仿宋_GB2312" w:eastAsia="仿宋_GB2312" w:cs="仿宋_GB2312"/>
          <w:color w:val="000000"/>
          <w:sz w:val="32"/>
          <w:szCs w:val="32"/>
          <w:lang w:val="en-US" w:eastAsia="zh-CN"/>
        </w:rPr>
        <w:t>共同织牢织密网络安全防线。</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二、主动公开政府信息情况</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firstLine="640"/>
        <w:textAlignment w:val="auto"/>
        <w:rPr>
          <w:rFonts w:hint="eastAsia" w:ascii="黑体" w:hAnsi="黑体" w:eastAsia="黑体" w:cs="黑体"/>
          <w:sz w:val="32"/>
          <w:szCs w:val="32"/>
          <w:lang w:eastAsia="zh-CN"/>
        </w:rPr>
      </w:pPr>
    </w:p>
    <w:tbl>
      <w:tblPr>
        <w:tblStyle w:val="8"/>
        <w:tblW w:w="9062" w:type="dxa"/>
        <w:jc w:val="center"/>
        <w:tblInd w:w="0" w:type="dxa"/>
        <w:tblLayout w:type="fixed"/>
        <w:tblCellMar>
          <w:top w:w="0" w:type="dxa"/>
          <w:left w:w="0" w:type="dxa"/>
          <w:bottom w:w="0" w:type="dxa"/>
          <w:right w:w="0" w:type="dxa"/>
        </w:tblCellMar>
      </w:tblPr>
      <w:tblGrid>
        <w:gridCol w:w="3113"/>
        <w:gridCol w:w="1875"/>
        <w:gridCol w:w="1699"/>
        <w:gridCol w:w="2375"/>
      </w:tblGrid>
      <w:tr>
        <w:tblPrEx>
          <w:tblLayout w:type="fixed"/>
          <w:tblCellMar>
            <w:top w:w="0" w:type="dxa"/>
            <w:left w:w="0" w:type="dxa"/>
            <w:bottom w:w="0" w:type="dxa"/>
            <w:right w:w="0" w:type="dxa"/>
          </w:tblCellMar>
        </w:tblPrEx>
        <w:trPr>
          <w:trHeight w:val="567" w:hRule="atLeast"/>
          <w:jc w:val="center"/>
        </w:trPr>
        <w:tc>
          <w:tcPr>
            <w:tcW w:w="9062" w:type="dxa"/>
            <w:gridSpan w:val="4"/>
            <w:tcBorders>
              <w:top w:val="single" w:color="auto" w:sz="8" w:space="0"/>
              <w:left w:val="single" w:color="auto" w:sz="8" w:space="0"/>
              <w:bottom w:val="single" w:color="auto" w:sz="8" w:space="0"/>
              <w:right w:val="single" w:color="auto" w:sz="8" w:space="0"/>
            </w:tcBorders>
            <w:shd w:val="clear" w:color="auto" w:fill="95B3D7"/>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ascii="仿宋_GB2312" w:hAnsi="宋体" w:eastAsia="仿宋_GB2312" w:cs="宋体"/>
                <w:kern w:val="0"/>
                <w:sz w:val="21"/>
                <w:szCs w:val="21"/>
              </w:rPr>
            </w:pPr>
            <w:r>
              <w:rPr>
                <w:rFonts w:hint="eastAsia" w:ascii="仿宋_GB2312" w:hAnsi="宋体" w:eastAsia="仿宋_GB2312" w:cs="宋体"/>
                <w:color w:val="000000"/>
                <w:kern w:val="0"/>
                <w:sz w:val="21"/>
                <w:szCs w:val="21"/>
              </w:rPr>
              <w:t>第二十条第（一）项</w:t>
            </w:r>
          </w:p>
        </w:tc>
      </w:tr>
      <w:tr>
        <w:tblPrEx>
          <w:tblLayout w:type="fixed"/>
          <w:tblCellMar>
            <w:top w:w="0" w:type="dxa"/>
            <w:left w:w="0" w:type="dxa"/>
            <w:bottom w:w="0" w:type="dxa"/>
            <w:right w:w="0" w:type="dxa"/>
          </w:tblCellMar>
        </w:tblPrEx>
        <w:trPr>
          <w:trHeight w:val="573" w:hRule="atLeast"/>
          <w:jc w:val="center"/>
        </w:trPr>
        <w:tc>
          <w:tcPr>
            <w:tcW w:w="3113" w:type="dxa"/>
            <w:tcBorders>
              <w:top w:val="nil"/>
              <w:left w:val="single" w:color="auto" w:sz="8" w:space="0"/>
              <w:bottom w:val="single" w:color="auto" w:sz="8" w:space="0"/>
              <w:right w:val="single" w:color="auto" w:sz="8" w:space="0"/>
            </w:tcBorders>
            <w:shd w:val="clear" w:color="auto" w:fill="DBE5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ascii="仿宋_GB2312" w:hAnsi="宋体" w:eastAsia="仿宋_GB2312" w:cs="宋体"/>
                <w:kern w:val="0"/>
                <w:sz w:val="21"/>
                <w:szCs w:val="21"/>
              </w:rPr>
            </w:pPr>
            <w:r>
              <w:rPr>
                <w:rFonts w:hint="eastAsia" w:ascii="仿宋_GB2312" w:hAnsi="宋体" w:eastAsia="仿宋_GB2312" w:cs="宋体"/>
                <w:color w:val="000000"/>
                <w:kern w:val="0"/>
                <w:sz w:val="21"/>
                <w:szCs w:val="21"/>
              </w:rPr>
              <w:t>信息内容</w:t>
            </w:r>
          </w:p>
        </w:tc>
        <w:tc>
          <w:tcPr>
            <w:tcW w:w="1875" w:type="dxa"/>
            <w:tcBorders>
              <w:top w:val="single" w:color="auto" w:sz="8" w:space="0"/>
              <w:left w:val="nil"/>
              <w:bottom w:val="single" w:color="auto" w:sz="8" w:space="0"/>
              <w:right w:val="single" w:color="auto" w:sz="8" w:space="0"/>
            </w:tcBorders>
            <w:shd w:val="clear" w:color="auto" w:fill="DBE5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rPr>
                <w:rFonts w:ascii="仿宋_GB2312" w:hAnsi="宋体" w:eastAsia="仿宋_GB2312" w:cs="宋体"/>
                <w:kern w:val="0"/>
                <w:sz w:val="21"/>
                <w:szCs w:val="21"/>
              </w:rPr>
            </w:pPr>
            <w:r>
              <w:rPr>
                <w:rFonts w:hint="eastAsia" w:ascii="仿宋_GB2312" w:hAnsi="宋体" w:eastAsia="仿宋_GB2312" w:cs="宋体"/>
                <w:color w:val="000000"/>
                <w:kern w:val="0"/>
                <w:sz w:val="21"/>
                <w:szCs w:val="21"/>
              </w:rPr>
              <w:t>本年新</w:t>
            </w:r>
            <w:r>
              <w:rPr>
                <w:rFonts w:hint="eastAsia" w:ascii="仿宋_GB2312" w:hAnsi="宋体" w:eastAsia="仿宋_GB2312" w:cs="宋体"/>
                <w:kern w:val="0"/>
                <w:sz w:val="21"/>
                <w:szCs w:val="21"/>
              </w:rPr>
              <w:t>制作数量</w:t>
            </w:r>
          </w:p>
        </w:tc>
        <w:tc>
          <w:tcPr>
            <w:tcW w:w="1699" w:type="dxa"/>
            <w:tcBorders>
              <w:top w:val="single" w:color="auto" w:sz="8" w:space="0"/>
              <w:left w:val="nil"/>
              <w:bottom w:val="single" w:color="auto" w:sz="8" w:space="0"/>
              <w:right w:val="single" w:color="auto" w:sz="8" w:space="0"/>
            </w:tcBorders>
            <w:shd w:val="clear" w:color="auto" w:fill="DBE5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ascii="仿宋_GB2312" w:hAnsi="宋体" w:eastAsia="仿宋_GB2312" w:cs="宋体"/>
                <w:kern w:val="0"/>
                <w:sz w:val="21"/>
                <w:szCs w:val="21"/>
              </w:rPr>
            </w:pPr>
            <w:r>
              <w:rPr>
                <w:rFonts w:hint="eastAsia" w:ascii="仿宋_GB2312" w:hAnsi="宋体" w:eastAsia="仿宋_GB2312" w:cs="宋体"/>
                <w:color w:val="000000"/>
                <w:kern w:val="0"/>
                <w:sz w:val="21"/>
                <w:szCs w:val="21"/>
              </w:rPr>
              <w:t>本年</w:t>
            </w:r>
            <w:r>
              <w:rPr>
                <w:rFonts w:hint="eastAsia" w:ascii="仿宋_GB2312" w:hAnsi="宋体" w:eastAsia="仿宋_GB2312" w:cs="宋体"/>
                <w:color w:val="000000"/>
                <w:kern w:val="0"/>
                <w:sz w:val="21"/>
                <w:szCs w:val="21"/>
                <w:lang w:eastAsia="zh-CN"/>
              </w:rPr>
              <w:t>废止件</w:t>
            </w:r>
            <w:r>
              <w:rPr>
                <w:rFonts w:hint="eastAsia" w:ascii="仿宋_GB2312" w:hAnsi="宋体" w:eastAsia="仿宋_GB2312" w:cs="宋体"/>
                <w:kern w:val="0"/>
                <w:sz w:val="21"/>
                <w:szCs w:val="21"/>
              </w:rPr>
              <w:t>数</w:t>
            </w:r>
          </w:p>
        </w:tc>
        <w:tc>
          <w:tcPr>
            <w:tcW w:w="2375" w:type="dxa"/>
            <w:tcBorders>
              <w:top w:val="nil"/>
              <w:left w:val="nil"/>
              <w:bottom w:val="single" w:color="auto" w:sz="8" w:space="0"/>
              <w:right w:val="single" w:color="auto" w:sz="8" w:space="0"/>
            </w:tcBorders>
            <w:shd w:val="clear" w:color="auto" w:fill="DBE5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现行有效件数</w:t>
            </w:r>
          </w:p>
        </w:tc>
      </w:tr>
      <w:tr>
        <w:tblPrEx>
          <w:tblLayout w:type="fixed"/>
          <w:tblCellMar>
            <w:top w:w="0" w:type="dxa"/>
            <w:left w:w="0" w:type="dxa"/>
            <w:bottom w:w="0" w:type="dxa"/>
            <w:right w:w="0" w:type="dxa"/>
          </w:tblCellMar>
        </w:tblPrEx>
        <w:trPr>
          <w:trHeight w:val="573" w:hRule="atLeast"/>
          <w:jc w:val="center"/>
        </w:trPr>
        <w:tc>
          <w:tcPr>
            <w:tcW w:w="3113" w:type="dxa"/>
            <w:tcBorders>
              <w:top w:val="nil"/>
              <w:left w:val="single" w:color="auto" w:sz="8" w:space="0"/>
              <w:bottom w:val="single" w:color="auto" w:sz="8" w:space="0"/>
              <w:right w:val="single" w:color="auto" w:sz="8" w:space="0"/>
            </w:tcBorders>
            <w:shd w:val="clear" w:color="auto" w:fill="DBE5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ascii="仿宋_GB2312" w:hAnsi="宋体" w:eastAsia="仿宋_GB2312" w:cs="宋体"/>
                <w:kern w:val="0"/>
                <w:sz w:val="21"/>
                <w:szCs w:val="21"/>
              </w:rPr>
            </w:pPr>
            <w:r>
              <w:rPr>
                <w:rFonts w:hint="eastAsia" w:ascii="仿宋_GB2312" w:hAnsi="宋体" w:eastAsia="仿宋_GB2312" w:cs="宋体"/>
                <w:color w:val="000000"/>
                <w:kern w:val="0"/>
                <w:sz w:val="21"/>
                <w:szCs w:val="21"/>
              </w:rPr>
              <w:t>规章</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ascii="仿宋_GB2312" w:hAnsi="宋体" w:eastAsia="仿宋_GB2312" w:cs="宋体"/>
                <w:kern w:val="0"/>
                <w:sz w:val="21"/>
                <w:szCs w:val="21"/>
                <w:lang w:val="en-US" w:eastAsia="zh-CN"/>
              </w:rPr>
            </w:pPr>
            <w:r>
              <w:rPr>
                <w:rFonts w:hint="eastAsia" w:ascii="仿宋_GB2312" w:hAnsi="等线" w:eastAsia="仿宋_GB2312" w:cs="宋体"/>
                <w:color w:val="333333"/>
                <w:kern w:val="0"/>
                <w:sz w:val="21"/>
                <w:szCs w:val="21"/>
                <w:lang w:val="en-US" w:eastAsia="zh-CN"/>
              </w:rPr>
              <w:t>0</w:t>
            </w: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ascii="仿宋_GB2312" w:hAnsi="宋体" w:eastAsia="仿宋_GB2312" w:cs="宋体"/>
                <w:kern w:val="0"/>
                <w:sz w:val="21"/>
                <w:szCs w:val="21"/>
                <w:lang w:val="en-US" w:eastAsia="zh-CN"/>
              </w:rPr>
            </w:pPr>
            <w:r>
              <w:rPr>
                <w:rFonts w:hint="eastAsia" w:ascii="仿宋_GB2312" w:hAnsi="等线" w:eastAsia="仿宋_GB2312" w:cs="宋体"/>
                <w:color w:val="333333"/>
                <w:kern w:val="0"/>
                <w:sz w:val="21"/>
                <w:szCs w:val="21"/>
                <w:lang w:val="en-US" w:eastAsia="zh-CN"/>
              </w:rPr>
              <w:t>0</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ascii="仿宋_GB2312" w:hAnsi="宋体" w:eastAsia="仿宋_GB2312" w:cs="宋体"/>
                <w:kern w:val="0"/>
                <w:sz w:val="21"/>
                <w:szCs w:val="21"/>
                <w:lang w:val="en-US"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0" w:type="dxa"/>
            <w:bottom w:w="0" w:type="dxa"/>
            <w:right w:w="0" w:type="dxa"/>
          </w:tblCellMar>
        </w:tblPrEx>
        <w:trPr>
          <w:trHeight w:val="573" w:hRule="atLeast"/>
          <w:jc w:val="center"/>
        </w:trPr>
        <w:tc>
          <w:tcPr>
            <w:tcW w:w="3113" w:type="dxa"/>
            <w:tcBorders>
              <w:top w:val="nil"/>
              <w:left w:val="single" w:color="auto" w:sz="8" w:space="0"/>
              <w:bottom w:val="single" w:color="auto" w:sz="8" w:space="0"/>
              <w:right w:val="single" w:color="auto" w:sz="8" w:space="0"/>
            </w:tcBorders>
            <w:shd w:val="clear" w:color="auto" w:fill="DBE5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ascii="仿宋_GB2312" w:hAnsi="宋体" w:eastAsia="仿宋_GB2312" w:cs="宋体"/>
                <w:kern w:val="0"/>
                <w:sz w:val="21"/>
                <w:szCs w:val="21"/>
              </w:rPr>
            </w:pPr>
            <w:r>
              <w:rPr>
                <w:rFonts w:hint="eastAsia" w:ascii="仿宋_GB2312" w:hAnsi="宋体" w:eastAsia="仿宋_GB2312" w:cs="宋体"/>
                <w:color w:val="000000"/>
                <w:kern w:val="0"/>
                <w:sz w:val="21"/>
                <w:szCs w:val="21"/>
                <w:lang w:eastAsia="zh-CN"/>
              </w:rPr>
              <w:t>行政</w:t>
            </w:r>
            <w:r>
              <w:rPr>
                <w:rFonts w:hint="eastAsia" w:ascii="仿宋_GB2312" w:hAnsi="宋体" w:eastAsia="仿宋_GB2312" w:cs="宋体"/>
                <w:color w:val="000000"/>
                <w:kern w:val="0"/>
                <w:sz w:val="21"/>
                <w:szCs w:val="21"/>
              </w:rPr>
              <w:t>规范性文件</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0</w:t>
            </w: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0</w:t>
            </w:r>
          </w:p>
        </w:tc>
        <w:tc>
          <w:tcPr>
            <w:tcW w:w="237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lang w:val="en-US" w:eastAsia="zh-CN"/>
              </w:rPr>
              <w:t>0</w:t>
            </w:r>
          </w:p>
        </w:tc>
      </w:tr>
      <w:tr>
        <w:tblPrEx>
          <w:tblLayout w:type="fixed"/>
          <w:tblCellMar>
            <w:top w:w="0" w:type="dxa"/>
            <w:left w:w="0" w:type="dxa"/>
            <w:bottom w:w="0" w:type="dxa"/>
            <w:right w:w="0" w:type="dxa"/>
          </w:tblCellMar>
        </w:tblPrEx>
        <w:trPr>
          <w:trHeight w:val="567" w:hRule="atLeast"/>
          <w:jc w:val="center"/>
        </w:trPr>
        <w:tc>
          <w:tcPr>
            <w:tcW w:w="9062" w:type="dxa"/>
            <w:gridSpan w:val="4"/>
            <w:tcBorders>
              <w:top w:val="nil"/>
              <w:left w:val="single" w:color="auto" w:sz="8" w:space="0"/>
              <w:bottom w:val="single" w:color="auto" w:sz="8" w:space="0"/>
              <w:right w:val="single" w:color="auto" w:sz="8" w:space="0"/>
            </w:tcBorders>
            <w:shd w:val="clear" w:color="auto" w:fill="95B3D7"/>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ascii="仿宋_GB2312" w:hAnsi="宋体" w:eastAsia="仿宋_GB2312" w:cs="宋体"/>
                <w:kern w:val="0"/>
                <w:sz w:val="21"/>
                <w:szCs w:val="21"/>
              </w:rPr>
            </w:pPr>
            <w:r>
              <w:rPr>
                <w:rFonts w:hint="eastAsia" w:ascii="仿宋_GB2312" w:hAnsi="宋体" w:eastAsia="仿宋_GB2312" w:cs="宋体"/>
                <w:color w:val="000000"/>
                <w:kern w:val="0"/>
                <w:sz w:val="21"/>
                <w:szCs w:val="21"/>
              </w:rPr>
              <w:t>第二十条第（五）项</w:t>
            </w:r>
          </w:p>
        </w:tc>
      </w:tr>
      <w:tr>
        <w:tblPrEx>
          <w:tblLayout w:type="fixed"/>
          <w:tblCellMar>
            <w:top w:w="0" w:type="dxa"/>
            <w:left w:w="0" w:type="dxa"/>
            <w:bottom w:w="0" w:type="dxa"/>
            <w:right w:w="0" w:type="dxa"/>
          </w:tblCellMar>
        </w:tblPrEx>
        <w:trPr>
          <w:trHeight w:val="573" w:hRule="atLeast"/>
          <w:jc w:val="center"/>
        </w:trPr>
        <w:tc>
          <w:tcPr>
            <w:tcW w:w="3113" w:type="dxa"/>
            <w:tcBorders>
              <w:top w:val="nil"/>
              <w:left w:val="single" w:color="auto" w:sz="8" w:space="0"/>
              <w:bottom w:val="single" w:color="auto" w:sz="8" w:space="0"/>
              <w:right w:val="single" w:color="auto" w:sz="8" w:space="0"/>
            </w:tcBorders>
            <w:shd w:val="clear" w:color="auto" w:fill="DBE5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ascii="仿宋_GB2312" w:hAnsi="宋体" w:eastAsia="仿宋_GB2312" w:cs="宋体"/>
                <w:kern w:val="0"/>
                <w:sz w:val="21"/>
                <w:szCs w:val="21"/>
              </w:rPr>
            </w:pPr>
            <w:r>
              <w:rPr>
                <w:rFonts w:hint="eastAsia" w:ascii="仿宋_GB2312" w:hAnsi="宋体" w:eastAsia="仿宋_GB2312" w:cs="宋体"/>
                <w:color w:val="000000"/>
                <w:kern w:val="0"/>
                <w:sz w:val="21"/>
                <w:szCs w:val="21"/>
              </w:rPr>
              <w:t>信息内容</w:t>
            </w:r>
          </w:p>
        </w:tc>
        <w:tc>
          <w:tcPr>
            <w:tcW w:w="5949" w:type="dxa"/>
            <w:gridSpan w:val="3"/>
            <w:tcBorders>
              <w:top w:val="single" w:color="auto" w:sz="8" w:space="0"/>
              <w:left w:val="nil"/>
              <w:bottom w:val="single" w:color="auto" w:sz="8" w:space="0"/>
              <w:right w:val="single" w:color="auto" w:sz="8" w:space="0"/>
            </w:tcBorders>
            <w:shd w:val="clear" w:color="auto" w:fill="DBE5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ascii="仿宋_GB2312" w:hAnsi="宋体" w:eastAsia="仿宋_GB2312" w:cs="宋体"/>
                <w:kern w:val="0"/>
                <w:sz w:val="21"/>
                <w:szCs w:val="21"/>
              </w:rPr>
            </w:pPr>
            <w:r>
              <w:rPr>
                <w:rFonts w:hint="eastAsia" w:ascii="仿宋_GB2312" w:hAnsi="宋体" w:eastAsia="仿宋_GB2312" w:cs="宋体"/>
                <w:color w:val="000000"/>
                <w:kern w:val="0"/>
                <w:sz w:val="21"/>
                <w:szCs w:val="21"/>
                <w:lang w:eastAsia="zh-CN"/>
              </w:rPr>
              <w:t>本年</w:t>
            </w:r>
            <w:r>
              <w:rPr>
                <w:rFonts w:hint="eastAsia" w:ascii="仿宋_GB2312" w:hAnsi="宋体" w:eastAsia="仿宋_GB2312" w:cs="宋体"/>
                <w:color w:val="000000"/>
                <w:kern w:val="0"/>
                <w:sz w:val="21"/>
                <w:szCs w:val="21"/>
              </w:rPr>
              <w:t>处理决定数量</w:t>
            </w:r>
          </w:p>
        </w:tc>
      </w:tr>
      <w:tr>
        <w:tblPrEx>
          <w:tblLayout w:type="fixed"/>
          <w:tblCellMar>
            <w:top w:w="0" w:type="dxa"/>
            <w:left w:w="0" w:type="dxa"/>
            <w:bottom w:w="0" w:type="dxa"/>
            <w:right w:w="0" w:type="dxa"/>
          </w:tblCellMar>
        </w:tblPrEx>
        <w:trPr>
          <w:trHeight w:val="661" w:hRule="atLeast"/>
          <w:jc w:val="center"/>
        </w:trPr>
        <w:tc>
          <w:tcPr>
            <w:tcW w:w="3113" w:type="dxa"/>
            <w:tcBorders>
              <w:top w:val="nil"/>
              <w:left w:val="single" w:color="auto" w:sz="8" w:space="0"/>
              <w:bottom w:val="single" w:color="auto" w:sz="8" w:space="0"/>
              <w:right w:val="single" w:color="auto" w:sz="8" w:space="0"/>
            </w:tcBorders>
            <w:shd w:val="clear" w:color="auto" w:fill="DBE5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ascii="仿宋_GB2312" w:hAnsi="宋体" w:eastAsia="仿宋_GB2312" w:cs="宋体"/>
                <w:kern w:val="0"/>
                <w:sz w:val="21"/>
                <w:szCs w:val="21"/>
              </w:rPr>
            </w:pPr>
            <w:r>
              <w:rPr>
                <w:rFonts w:hint="eastAsia" w:ascii="仿宋_GB2312" w:hAnsi="宋体" w:eastAsia="仿宋_GB2312" w:cs="宋体"/>
                <w:color w:val="000000"/>
                <w:kern w:val="0"/>
                <w:sz w:val="21"/>
                <w:szCs w:val="21"/>
              </w:rPr>
              <w:t>行政许可</w:t>
            </w:r>
          </w:p>
        </w:tc>
        <w:tc>
          <w:tcPr>
            <w:tcW w:w="594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ascii="仿宋_GB2312" w:hAnsi="宋体" w:eastAsia="仿宋_GB2312" w:cs="宋体"/>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0" w:type="dxa"/>
            <w:bottom w:w="0" w:type="dxa"/>
            <w:right w:w="0" w:type="dxa"/>
          </w:tblCellMar>
        </w:tblPrEx>
        <w:trPr>
          <w:trHeight w:val="567" w:hRule="atLeast"/>
          <w:jc w:val="center"/>
        </w:trPr>
        <w:tc>
          <w:tcPr>
            <w:tcW w:w="9062" w:type="dxa"/>
            <w:gridSpan w:val="4"/>
            <w:tcBorders>
              <w:top w:val="single" w:color="auto" w:sz="4" w:space="0"/>
              <w:left w:val="single" w:color="auto" w:sz="4" w:space="0"/>
              <w:bottom w:val="single" w:color="auto" w:sz="4" w:space="0"/>
              <w:right w:val="single" w:color="auto" w:sz="4" w:space="0"/>
            </w:tcBorders>
            <w:shd w:val="clear" w:color="auto" w:fill="95B3D7"/>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ascii="仿宋_GB2312" w:hAnsi="宋体" w:eastAsia="仿宋_GB2312" w:cs="宋体"/>
                <w:kern w:val="0"/>
                <w:sz w:val="21"/>
                <w:szCs w:val="21"/>
              </w:rPr>
            </w:pPr>
            <w:r>
              <w:rPr>
                <w:rFonts w:hint="eastAsia" w:ascii="仿宋_GB2312" w:hAnsi="宋体" w:eastAsia="仿宋_GB2312" w:cs="宋体"/>
                <w:color w:val="000000"/>
                <w:kern w:val="0"/>
                <w:sz w:val="21"/>
                <w:szCs w:val="21"/>
              </w:rPr>
              <w:t>第二十条第（六）项</w:t>
            </w:r>
          </w:p>
        </w:tc>
      </w:tr>
      <w:tr>
        <w:tblPrEx>
          <w:tblLayout w:type="fixed"/>
          <w:tblCellMar>
            <w:top w:w="0" w:type="dxa"/>
            <w:left w:w="0" w:type="dxa"/>
            <w:bottom w:w="0" w:type="dxa"/>
            <w:right w:w="0" w:type="dxa"/>
          </w:tblCellMar>
        </w:tblPrEx>
        <w:trPr>
          <w:trHeight w:val="573" w:hRule="atLeast"/>
          <w:jc w:val="center"/>
        </w:trPr>
        <w:tc>
          <w:tcPr>
            <w:tcW w:w="3113" w:type="dxa"/>
            <w:tcBorders>
              <w:top w:val="single" w:color="auto" w:sz="4" w:space="0"/>
              <w:left w:val="single" w:color="auto" w:sz="4" w:space="0"/>
              <w:bottom w:val="single" w:color="auto" w:sz="4" w:space="0"/>
              <w:right w:val="single" w:color="auto" w:sz="4" w:space="0"/>
            </w:tcBorders>
            <w:shd w:val="clear" w:color="auto" w:fill="DBE5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ascii="仿宋_GB2312" w:hAnsi="宋体" w:eastAsia="仿宋_GB2312" w:cs="宋体"/>
                <w:kern w:val="0"/>
                <w:sz w:val="21"/>
                <w:szCs w:val="21"/>
              </w:rPr>
            </w:pPr>
            <w:r>
              <w:rPr>
                <w:rFonts w:hint="eastAsia" w:ascii="仿宋_GB2312" w:hAnsi="宋体" w:eastAsia="仿宋_GB2312" w:cs="宋体"/>
                <w:color w:val="000000"/>
                <w:kern w:val="0"/>
                <w:sz w:val="21"/>
                <w:szCs w:val="21"/>
              </w:rPr>
              <w:t>信息内容</w:t>
            </w:r>
          </w:p>
        </w:tc>
        <w:tc>
          <w:tcPr>
            <w:tcW w:w="5949" w:type="dxa"/>
            <w:gridSpan w:val="3"/>
            <w:tcBorders>
              <w:top w:val="single" w:color="auto" w:sz="4" w:space="0"/>
              <w:left w:val="single" w:color="auto" w:sz="4" w:space="0"/>
              <w:bottom w:val="single" w:color="auto" w:sz="4" w:space="0"/>
              <w:right w:val="single" w:color="auto" w:sz="4" w:space="0"/>
            </w:tcBorders>
            <w:shd w:val="clear" w:color="auto" w:fill="DBE5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ascii="仿宋_GB2312" w:hAnsi="宋体" w:eastAsia="仿宋_GB2312" w:cs="宋体"/>
                <w:kern w:val="0"/>
                <w:sz w:val="21"/>
                <w:szCs w:val="21"/>
              </w:rPr>
            </w:pPr>
            <w:r>
              <w:rPr>
                <w:rFonts w:hint="eastAsia" w:ascii="仿宋_GB2312" w:hAnsi="宋体" w:eastAsia="仿宋_GB2312" w:cs="宋体"/>
                <w:color w:val="000000"/>
                <w:kern w:val="0"/>
                <w:sz w:val="21"/>
                <w:szCs w:val="21"/>
                <w:lang w:eastAsia="zh-CN"/>
              </w:rPr>
              <w:t>本年</w:t>
            </w:r>
            <w:r>
              <w:rPr>
                <w:rFonts w:hint="eastAsia" w:ascii="仿宋_GB2312" w:hAnsi="宋体" w:eastAsia="仿宋_GB2312" w:cs="宋体"/>
                <w:color w:val="000000"/>
                <w:kern w:val="0"/>
                <w:sz w:val="21"/>
                <w:szCs w:val="21"/>
              </w:rPr>
              <w:t>处理决定数量</w:t>
            </w:r>
          </w:p>
        </w:tc>
      </w:tr>
      <w:tr>
        <w:tblPrEx>
          <w:tblLayout w:type="fixed"/>
          <w:tblCellMar>
            <w:top w:w="0" w:type="dxa"/>
            <w:left w:w="0" w:type="dxa"/>
            <w:bottom w:w="0" w:type="dxa"/>
            <w:right w:w="0" w:type="dxa"/>
          </w:tblCellMar>
        </w:tblPrEx>
        <w:trPr>
          <w:trHeight w:val="573" w:hRule="atLeast"/>
          <w:jc w:val="center"/>
        </w:trPr>
        <w:tc>
          <w:tcPr>
            <w:tcW w:w="3113" w:type="dxa"/>
            <w:tcBorders>
              <w:top w:val="single" w:color="auto" w:sz="4" w:space="0"/>
              <w:left w:val="single" w:color="auto" w:sz="8" w:space="0"/>
              <w:bottom w:val="single" w:color="auto" w:sz="8" w:space="0"/>
              <w:right w:val="single" w:color="auto" w:sz="8" w:space="0"/>
            </w:tcBorders>
            <w:shd w:val="clear" w:color="auto" w:fill="DBE5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ascii="仿宋_GB2312" w:hAnsi="宋体" w:eastAsia="仿宋_GB2312" w:cs="宋体"/>
                <w:kern w:val="0"/>
                <w:sz w:val="21"/>
                <w:szCs w:val="21"/>
              </w:rPr>
            </w:pPr>
            <w:r>
              <w:rPr>
                <w:rFonts w:hint="eastAsia" w:ascii="仿宋_GB2312" w:hAnsi="宋体" w:eastAsia="仿宋_GB2312" w:cs="宋体"/>
                <w:color w:val="000000"/>
                <w:kern w:val="0"/>
                <w:sz w:val="21"/>
                <w:szCs w:val="21"/>
              </w:rPr>
              <w:t>行政处罚</w:t>
            </w:r>
          </w:p>
        </w:tc>
        <w:tc>
          <w:tcPr>
            <w:tcW w:w="5949" w:type="dxa"/>
            <w:gridSpan w:val="3"/>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ascii="仿宋_GB2312" w:hAnsi="宋体" w:eastAsia="仿宋_GB2312" w:cs="宋体"/>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0" w:type="dxa"/>
            <w:bottom w:w="0" w:type="dxa"/>
            <w:right w:w="0" w:type="dxa"/>
          </w:tblCellMar>
        </w:tblPrEx>
        <w:trPr>
          <w:trHeight w:val="573" w:hRule="atLeast"/>
          <w:jc w:val="center"/>
        </w:trPr>
        <w:tc>
          <w:tcPr>
            <w:tcW w:w="3113" w:type="dxa"/>
            <w:tcBorders>
              <w:top w:val="nil"/>
              <w:left w:val="single" w:color="auto" w:sz="8" w:space="0"/>
              <w:bottom w:val="single" w:color="auto" w:sz="8" w:space="0"/>
              <w:right w:val="single" w:color="auto" w:sz="8" w:space="0"/>
            </w:tcBorders>
            <w:shd w:val="clear" w:color="auto" w:fill="DBE5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ascii="仿宋_GB2312" w:hAnsi="宋体" w:eastAsia="仿宋_GB2312" w:cs="宋体"/>
                <w:kern w:val="0"/>
                <w:sz w:val="21"/>
                <w:szCs w:val="21"/>
              </w:rPr>
            </w:pPr>
            <w:r>
              <w:rPr>
                <w:rFonts w:hint="eastAsia" w:ascii="仿宋_GB2312" w:hAnsi="宋体" w:eastAsia="仿宋_GB2312" w:cs="宋体"/>
                <w:color w:val="000000"/>
                <w:kern w:val="0"/>
                <w:sz w:val="21"/>
                <w:szCs w:val="21"/>
              </w:rPr>
              <w:t>行政强制</w:t>
            </w:r>
          </w:p>
        </w:tc>
        <w:tc>
          <w:tcPr>
            <w:tcW w:w="594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ascii="仿宋_GB2312" w:hAnsi="宋体" w:eastAsia="仿宋_GB2312" w:cs="宋体"/>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0" w:type="dxa"/>
            <w:bottom w:w="0" w:type="dxa"/>
            <w:right w:w="0" w:type="dxa"/>
          </w:tblCellMar>
        </w:tblPrEx>
        <w:trPr>
          <w:trHeight w:val="567" w:hRule="atLeast"/>
          <w:jc w:val="center"/>
        </w:trPr>
        <w:tc>
          <w:tcPr>
            <w:tcW w:w="9062" w:type="dxa"/>
            <w:gridSpan w:val="4"/>
            <w:tcBorders>
              <w:top w:val="nil"/>
              <w:left w:val="single" w:color="auto" w:sz="8" w:space="0"/>
              <w:bottom w:val="single" w:color="auto" w:sz="8" w:space="0"/>
              <w:right w:val="single" w:color="auto" w:sz="8" w:space="0"/>
            </w:tcBorders>
            <w:shd w:val="clear" w:color="auto" w:fill="95B3D7"/>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ascii="仿宋_GB2312" w:hAnsi="宋体" w:eastAsia="仿宋_GB2312" w:cs="宋体"/>
                <w:kern w:val="0"/>
                <w:sz w:val="21"/>
                <w:szCs w:val="21"/>
              </w:rPr>
            </w:pPr>
            <w:r>
              <w:rPr>
                <w:rFonts w:hint="eastAsia" w:ascii="仿宋_GB2312" w:hAnsi="宋体" w:eastAsia="仿宋_GB2312" w:cs="宋体"/>
                <w:color w:val="000000"/>
                <w:kern w:val="0"/>
                <w:sz w:val="21"/>
                <w:szCs w:val="21"/>
              </w:rPr>
              <w:t>第二十条第（八）项</w:t>
            </w:r>
          </w:p>
        </w:tc>
      </w:tr>
      <w:tr>
        <w:tblPrEx>
          <w:tblLayout w:type="fixed"/>
          <w:tblCellMar>
            <w:top w:w="0" w:type="dxa"/>
            <w:left w:w="0" w:type="dxa"/>
            <w:bottom w:w="0" w:type="dxa"/>
            <w:right w:w="0" w:type="dxa"/>
          </w:tblCellMar>
        </w:tblPrEx>
        <w:trPr>
          <w:trHeight w:val="573" w:hRule="atLeast"/>
          <w:jc w:val="center"/>
        </w:trPr>
        <w:tc>
          <w:tcPr>
            <w:tcW w:w="3113" w:type="dxa"/>
            <w:tcBorders>
              <w:top w:val="nil"/>
              <w:left w:val="single" w:color="auto" w:sz="8" w:space="0"/>
              <w:bottom w:val="single" w:color="auto" w:sz="8" w:space="0"/>
              <w:right w:val="single" w:color="auto" w:sz="8" w:space="0"/>
            </w:tcBorders>
            <w:shd w:val="clear" w:color="auto" w:fill="DBE5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ascii="仿宋_GB2312" w:hAnsi="宋体" w:eastAsia="仿宋_GB2312" w:cs="宋体"/>
                <w:kern w:val="0"/>
                <w:sz w:val="21"/>
                <w:szCs w:val="21"/>
              </w:rPr>
            </w:pPr>
            <w:r>
              <w:rPr>
                <w:rFonts w:hint="eastAsia" w:ascii="仿宋_GB2312" w:hAnsi="宋体" w:eastAsia="仿宋_GB2312" w:cs="宋体"/>
                <w:color w:val="000000"/>
                <w:kern w:val="0"/>
                <w:sz w:val="21"/>
                <w:szCs w:val="21"/>
              </w:rPr>
              <w:t>信息内容</w:t>
            </w:r>
          </w:p>
        </w:tc>
        <w:tc>
          <w:tcPr>
            <w:tcW w:w="5949" w:type="dxa"/>
            <w:gridSpan w:val="3"/>
            <w:tcBorders>
              <w:top w:val="nil"/>
              <w:left w:val="nil"/>
              <w:bottom w:val="single" w:color="auto" w:sz="8" w:space="0"/>
              <w:right w:val="single" w:color="000000" w:sz="8" w:space="0"/>
            </w:tcBorders>
            <w:shd w:val="clear" w:color="auto" w:fill="DBE5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ascii="仿宋_GB2312" w:hAnsi="宋体" w:eastAsia="仿宋_GB2312" w:cs="宋体"/>
                <w:kern w:val="0"/>
                <w:sz w:val="21"/>
                <w:szCs w:val="21"/>
                <w:lang w:eastAsia="zh-CN"/>
              </w:rPr>
            </w:pPr>
            <w:r>
              <w:rPr>
                <w:rFonts w:hint="eastAsia" w:ascii="仿宋_GB2312" w:hAnsi="宋体" w:eastAsia="仿宋_GB2312" w:cs="宋体"/>
                <w:color w:val="000000"/>
                <w:kern w:val="0"/>
                <w:sz w:val="21"/>
                <w:szCs w:val="21"/>
                <w:lang w:eastAsia="zh-CN"/>
              </w:rPr>
              <w:t>本年收费金额（单位：万元）</w:t>
            </w:r>
          </w:p>
        </w:tc>
      </w:tr>
      <w:tr>
        <w:tblPrEx>
          <w:tblLayout w:type="fixed"/>
          <w:tblCellMar>
            <w:top w:w="0" w:type="dxa"/>
            <w:left w:w="0" w:type="dxa"/>
            <w:bottom w:w="0" w:type="dxa"/>
            <w:right w:w="0" w:type="dxa"/>
          </w:tblCellMar>
        </w:tblPrEx>
        <w:trPr>
          <w:trHeight w:val="573" w:hRule="atLeast"/>
          <w:jc w:val="center"/>
        </w:trPr>
        <w:tc>
          <w:tcPr>
            <w:tcW w:w="3113" w:type="dxa"/>
            <w:tcBorders>
              <w:top w:val="nil"/>
              <w:left w:val="single" w:color="auto" w:sz="8" w:space="0"/>
              <w:bottom w:val="single" w:color="auto" w:sz="8" w:space="0"/>
              <w:right w:val="single" w:color="auto" w:sz="8" w:space="0"/>
            </w:tcBorders>
            <w:shd w:val="clear" w:color="auto" w:fill="DBE5F1"/>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ascii="仿宋_GB2312" w:hAnsi="宋体" w:eastAsia="仿宋_GB2312" w:cs="宋体"/>
                <w:kern w:val="0"/>
                <w:sz w:val="21"/>
                <w:szCs w:val="21"/>
              </w:rPr>
            </w:pPr>
            <w:r>
              <w:rPr>
                <w:rFonts w:hint="eastAsia" w:ascii="仿宋_GB2312" w:hAnsi="宋体" w:eastAsia="仿宋_GB2312" w:cs="宋体"/>
                <w:color w:val="000000"/>
                <w:kern w:val="0"/>
                <w:sz w:val="21"/>
                <w:szCs w:val="21"/>
              </w:rPr>
              <w:t>行政事业性收费</w:t>
            </w:r>
          </w:p>
        </w:tc>
        <w:tc>
          <w:tcPr>
            <w:tcW w:w="5949" w:type="dxa"/>
            <w:gridSpan w:val="3"/>
            <w:tcBorders>
              <w:top w:val="nil"/>
              <w:left w:val="nil"/>
              <w:bottom w:val="single" w:color="auto"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ascii="仿宋_GB2312" w:hAnsi="宋体" w:eastAsia="仿宋_GB2312" w:cs="宋体"/>
                <w:kern w:val="0"/>
                <w:sz w:val="21"/>
                <w:szCs w:val="21"/>
                <w:lang w:val="en-US" w:eastAsia="zh-CN"/>
              </w:rPr>
            </w:pPr>
            <w:r>
              <w:rPr>
                <w:rFonts w:hint="eastAsia" w:ascii="仿宋_GB2312" w:hAnsi="等线" w:eastAsia="仿宋_GB2312" w:cs="宋体"/>
                <w:color w:val="333333"/>
                <w:kern w:val="0"/>
                <w:sz w:val="21"/>
                <w:szCs w:val="21"/>
                <w:lang w:val="en-US" w:eastAsia="zh-CN"/>
              </w:rPr>
              <w:t>0</w:t>
            </w:r>
          </w:p>
        </w:tc>
      </w:tr>
    </w:tbl>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textAlignment w:val="auto"/>
        <w:rPr>
          <w:rFonts w:hint="eastAsia" w:ascii="黑体" w:hAnsi="黑体" w:eastAsia="黑体" w:cs="黑体"/>
          <w:sz w:val="32"/>
          <w:szCs w:val="32"/>
          <w:lang w:eastAsia="zh-CN"/>
        </w:rPr>
      </w:pPr>
    </w:p>
    <w:p>
      <w:pPr>
        <w:keepNext w:val="0"/>
        <w:keepLines w:val="0"/>
        <w:pageBreakBefore w:val="0"/>
        <w:numPr>
          <w:ilvl w:val="0"/>
          <w:numId w:val="2"/>
        </w:numPr>
        <w:kinsoku/>
        <w:wordWrap/>
        <w:overflowPunct/>
        <w:topLinePunct w:val="0"/>
        <w:autoSpaceDE/>
        <w:autoSpaceDN/>
        <w:bidi w:val="0"/>
        <w:adjustRightInd/>
        <w:spacing w:line="600" w:lineRule="exact"/>
        <w:ind w:left="0" w:leftChars="0" w:right="0" w:rightChars="0"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收到和处理政府信息公开申请情况</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textAlignment w:val="auto"/>
        <w:rPr>
          <w:rFonts w:hint="eastAsia" w:ascii="黑体" w:hAnsi="黑体" w:eastAsia="黑体" w:cs="黑体"/>
          <w:sz w:val="32"/>
          <w:szCs w:val="32"/>
          <w:lang w:eastAsia="zh-CN"/>
        </w:rPr>
      </w:pPr>
    </w:p>
    <w:tbl>
      <w:tblPr>
        <w:tblStyle w:val="8"/>
        <w:tblW w:w="9073" w:type="dxa"/>
        <w:tblInd w:w="-147" w:type="dxa"/>
        <w:tblLayout w:type="fixed"/>
        <w:tblCellMar>
          <w:top w:w="0" w:type="dxa"/>
          <w:left w:w="108" w:type="dxa"/>
          <w:bottom w:w="0" w:type="dxa"/>
          <w:right w:w="108" w:type="dxa"/>
        </w:tblCellMar>
      </w:tblPr>
      <w:tblGrid>
        <w:gridCol w:w="851"/>
        <w:gridCol w:w="1276"/>
        <w:gridCol w:w="1701"/>
        <w:gridCol w:w="709"/>
        <w:gridCol w:w="708"/>
        <w:gridCol w:w="709"/>
        <w:gridCol w:w="709"/>
        <w:gridCol w:w="709"/>
        <w:gridCol w:w="708"/>
        <w:gridCol w:w="993"/>
      </w:tblGrid>
      <w:tr>
        <w:tblPrEx>
          <w:tblLayout w:type="fixed"/>
          <w:tblCellMar>
            <w:top w:w="0" w:type="dxa"/>
            <w:left w:w="108" w:type="dxa"/>
            <w:bottom w:w="0" w:type="dxa"/>
            <w:right w:w="108" w:type="dxa"/>
          </w:tblCellMar>
        </w:tblPrEx>
        <w:trPr>
          <w:trHeight w:val="573" w:hRule="atLeast"/>
        </w:trPr>
        <w:tc>
          <w:tcPr>
            <w:tcW w:w="3828" w:type="dxa"/>
            <w:gridSpan w:val="3"/>
            <w:vMerge w:val="restart"/>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（本列数据的勾稽关系为：第一项加第二项之和，等于第三项加第四项之和）</w:t>
            </w:r>
          </w:p>
        </w:tc>
        <w:tc>
          <w:tcPr>
            <w:tcW w:w="5245" w:type="dxa"/>
            <w:gridSpan w:val="7"/>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申请人情况</w:t>
            </w:r>
          </w:p>
        </w:tc>
      </w:tr>
      <w:tr>
        <w:tblPrEx>
          <w:tblLayout w:type="fixed"/>
          <w:tblCellMar>
            <w:top w:w="0" w:type="dxa"/>
            <w:left w:w="108" w:type="dxa"/>
            <w:bottom w:w="0" w:type="dxa"/>
            <w:right w:w="108" w:type="dxa"/>
          </w:tblCellMar>
        </w:tblPrEx>
        <w:trPr>
          <w:trHeight w:val="573" w:hRule="atLeast"/>
        </w:trPr>
        <w:tc>
          <w:tcPr>
            <w:tcW w:w="3828" w:type="dxa"/>
            <w:gridSpan w:val="3"/>
            <w:vMerge w:val="continue"/>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709" w:type="dxa"/>
            <w:vMerge w:val="restar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自然人</w:t>
            </w:r>
          </w:p>
        </w:tc>
        <w:tc>
          <w:tcPr>
            <w:tcW w:w="3543" w:type="dxa"/>
            <w:gridSpan w:val="5"/>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法人或其他组织</w:t>
            </w:r>
          </w:p>
        </w:tc>
        <w:tc>
          <w:tcPr>
            <w:tcW w:w="993" w:type="dxa"/>
            <w:vMerge w:val="restar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总计</w:t>
            </w:r>
          </w:p>
        </w:tc>
      </w:tr>
      <w:tr>
        <w:tblPrEx>
          <w:tblLayout w:type="fixed"/>
          <w:tblCellMar>
            <w:top w:w="0" w:type="dxa"/>
            <w:left w:w="108" w:type="dxa"/>
            <w:bottom w:w="0" w:type="dxa"/>
            <w:right w:w="108" w:type="dxa"/>
          </w:tblCellMar>
        </w:tblPrEx>
        <w:trPr>
          <w:trHeight w:val="1018" w:hRule="atLeast"/>
        </w:trPr>
        <w:tc>
          <w:tcPr>
            <w:tcW w:w="3828" w:type="dxa"/>
            <w:gridSpan w:val="3"/>
            <w:vMerge w:val="continue"/>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709" w:type="dxa"/>
            <w:vMerge w:val="continue"/>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70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商业企业</w:t>
            </w:r>
          </w:p>
        </w:tc>
        <w:tc>
          <w:tcPr>
            <w:tcW w:w="709"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科研机构</w:t>
            </w:r>
          </w:p>
        </w:tc>
        <w:tc>
          <w:tcPr>
            <w:tcW w:w="709"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社会公益组织</w:t>
            </w:r>
          </w:p>
        </w:tc>
        <w:tc>
          <w:tcPr>
            <w:tcW w:w="709"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法律服务机构</w:t>
            </w:r>
          </w:p>
        </w:tc>
        <w:tc>
          <w:tcPr>
            <w:tcW w:w="708"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其他</w:t>
            </w:r>
          </w:p>
        </w:tc>
        <w:tc>
          <w:tcPr>
            <w:tcW w:w="993" w:type="dxa"/>
            <w:vMerge w:val="continue"/>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r>
      <w:tr>
        <w:tblPrEx>
          <w:tblLayout w:type="fixed"/>
          <w:tblCellMar>
            <w:top w:w="0" w:type="dxa"/>
            <w:left w:w="108" w:type="dxa"/>
            <w:bottom w:w="0" w:type="dxa"/>
            <w:right w:w="108" w:type="dxa"/>
          </w:tblCellMar>
        </w:tblPrEx>
        <w:trPr>
          <w:trHeight w:val="636" w:hRule="atLeast"/>
        </w:trPr>
        <w:tc>
          <w:tcPr>
            <w:tcW w:w="3828"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一、本年新收政府信息公开申请数量</w:t>
            </w:r>
          </w:p>
        </w:tc>
        <w:tc>
          <w:tcPr>
            <w:tcW w:w="709"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val="en-US" w:eastAsia="zh-CN"/>
              </w:rPr>
            </w:pPr>
            <w:r>
              <w:rPr>
                <w:rFonts w:hint="eastAsia" w:ascii="仿宋_GB2312" w:hAnsi="等线" w:eastAsia="仿宋_GB2312" w:cs="宋体"/>
                <w:color w:val="333333"/>
                <w:kern w:val="0"/>
                <w:sz w:val="21"/>
                <w:szCs w:val="21"/>
                <w:lang w:val="en-US" w:eastAsia="zh-CN"/>
              </w:rPr>
              <w:t>3</w:t>
            </w:r>
          </w:p>
        </w:tc>
        <w:tc>
          <w:tcPr>
            <w:tcW w:w="708"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val="en-US" w:eastAsia="zh-CN"/>
              </w:rPr>
            </w:pPr>
            <w:r>
              <w:rPr>
                <w:rFonts w:hint="eastAsia" w:ascii="仿宋_GB2312" w:hAnsi="等线" w:eastAsia="仿宋_GB2312" w:cs="宋体"/>
                <w:color w:val="333333"/>
                <w:kern w:val="0"/>
                <w:sz w:val="21"/>
                <w:szCs w:val="21"/>
                <w:lang w:val="en-US" w:eastAsia="zh-CN"/>
              </w:rPr>
              <w:t>3</w:t>
            </w:r>
          </w:p>
        </w:tc>
      </w:tr>
      <w:tr>
        <w:tblPrEx>
          <w:tblLayout w:type="fixed"/>
          <w:tblCellMar>
            <w:top w:w="0" w:type="dxa"/>
            <w:left w:w="108" w:type="dxa"/>
            <w:bottom w:w="0" w:type="dxa"/>
            <w:right w:w="108" w:type="dxa"/>
          </w:tblCellMar>
        </w:tblPrEx>
        <w:trPr>
          <w:trHeight w:val="610" w:hRule="atLeast"/>
        </w:trPr>
        <w:tc>
          <w:tcPr>
            <w:tcW w:w="3828"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二、上年结转政府信息公开申请数量</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586" w:hRule="atLeast"/>
        </w:trPr>
        <w:tc>
          <w:tcPr>
            <w:tcW w:w="851"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三、本年度办理结果</w:t>
            </w:r>
          </w:p>
        </w:tc>
        <w:tc>
          <w:tcPr>
            <w:tcW w:w="2977"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（一）予以公开</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val="en-US" w:eastAsia="zh-CN"/>
              </w:rPr>
            </w:pPr>
            <w:r>
              <w:rPr>
                <w:rFonts w:hint="eastAsia" w:ascii="仿宋_GB2312" w:hAnsi="等线" w:eastAsia="仿宋_GB2312" w:cs="宋体"/>
                <w:color w:val="333333"/>
                <w:kern w:val="0"/>
                <w:sz w:val="21"/>
                <w:szCs w:val="21"/>
                <w:lang w:val="en-US" w:eastAsia="zh-CN"/>
              </w:rPr>
              <w:t>3</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val="en-US" w:eastAsia="zh-CN"/>
              </w:rPr>
            </w:pPr>
            <w:r>
              <w:rPr>
                <w:rFonts w:hint="eastAsia" w:ascii="仿宋_GB2312" w:hAnsi="等线" w:eastAsia="仿宋_GB2312" w:cs="宋体"/>
                <w:color w:val="333333"/>
                <w:kern w:val="0"/>
                <w:sz w:val="21"/>
                <w:szCs w:val="21"/>
                <w:lang w:val="en-US" w:eastAsia="zh-CN"/>
              </w:rPr>
              <w:t>3</w:t>
            </w:r>
          </w:p>
        </w:tc>
      </w:tr>
      <w:tr>
        <w:tblPrEx>
          <w:tblLayout w:type="fixed"/>
          <w:tblCellMar>
            <w:top w:w="0" w:type="dxa"/>
            <w:left w:w="108" w:type="dxa"/>
            <w:bottom w:w="0" w:type="dxa"/>
            <w:right w:w="108" w:type="dxa"/>
          </w:tblCellMar>
        </w:tblPrEx>
        <w:trPr>
          <w:trHeight w:val="595"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2977"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（二）部分公开（区分处理的，只计这一情形，不计其他情形）</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573"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276"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（三）不予公开</w:t>
            </w:r>
          </w:p>
        </w:tc>
        <w:tc>
          <w:tcPr>
            <w:tcW w:w="17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1.属于国家秘密</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420"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2.其他法律行政法规禁止公开</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433"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3.危及“三安全一稳定”</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429"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4.保护第三方合法权益</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90"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5.属于三类内部事务信息</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346"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6.属于四类过程性信息</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90"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7.属于行政执法案卷</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90"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8.属于行政查询事项</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270"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276"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（四）无法提供</w:t>
            </w:r>
          </w:p>
        </w:tc>
        <w:tc>
          <w:tcPr>
            <w:tcW w:w="17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1.本机关不掌握相关政府信息</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170"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2.没有现成信息需要另行制作</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90"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3.补正后申请内容仍不明确</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345"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276"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（五）不予处理</w:t>
            </w:r>
          </w:p>
        </w:tc>
        <w:tc>
          <w:tcPr>
            <w:tcW w:w="17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1.信访举报投诉类申请</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594"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2.重复申请</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126"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3.要求提供公开出版物</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val="en-US"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val="en-US"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val="en-US"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val="en-US"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64"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4.无正当理由大量反复申请</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1002"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5.要求行政机关确认或重新出具已获取信息</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573"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276"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（六）其他处理</w:t>
            </w:r>
          </w:p>
        </w:tc>
        <w:tc>
          <w:tcPr>
            <w:tcW w:w="17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hint="eastAsia" w:ascii="仿宋_GB2312" w:hAnsi="等线" w:eastAsia="仿宋_GB2312" w:cs="宋体"/>
                <w:color w:val="333333"/>
                <w:kern w:val="0"/>
                <w:sz w:val="21"/>
                <w:szCs w:val="21"/>
                <w:lang w:val="en-US" w:eastAsia="zh-CN"/>
              </w:rPr>
            </w:pPr>
            <w:r>
              <w:rPr>
                <w:rFonts w:hint="eastAsia" w:ascii="仿宋_GB2312" w:hAnsi="等线" w:eastAsia="仿宋_GB2312" w:cs="宋体"/>
                <w:color w:val="333333"/>
                <w:kern w:val="0"/>
                <w:sz w:val="21"/>
                <w:szCs w:val="21"/>
              </w:rPr>
              <w:t>1.申请人无正当理由逾期不补正、行政机关不再处理其政府信息公开申请</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573"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hint="eastAsia"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2.申请人逾期未按收费通知要求缴纳费用、行政机关不再处理其政府信息公开申请</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573"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rPr>
            </w:pPr>
          </w:p>
        </w:tc>
        <w:tc>
          <w:tcPr>
            <w:tcW w:w="170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hint="eastAsia"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3.其他</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r>
        <w:tblPrEx>
          <w:tblLayout w:type="fixed"/>
          <w:tblCellMar>
            <w:top w:w="0" w:type="dxa"/>
            <w:left w:w="108" w:type="dxa"/>
            <w:bottom w:w="0" w:type="dxa"/>
            <w:right w:w="108" w:type="dxa"/>
          </w:tblCellMar>
        </w:tblPrEx>
        <w:trPr>
          <w:trHeight w:val="573" w:hRule="atLeast"/>
        </w:trPr>
        <w:tc>
          <w:tcPr>
            <w:tcW w:w="851"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p>
        </w:tc>
        <w:tc>
          <w:tcPr>
            <w:tcW w:w="2977"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（七）总计</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val="en-US" w:eastAsia="zh-CN"/>
              </w:rPr>
            </w:pPr>
            <w:r>
              <w:rPr>
                <w:rFonts w:hint="eastAsia" w:ascii="仿宋_GB2312" w:hAnsi="等线" w:eastAsia="仿宋_GB2312" w:cs="宋体"/>
                <w:color w:val="333333"/>
                <w:kern w:val="0"/>
                <w:sz w:val="21"/>
                <w:szCs w:val="21"/>
                <w:lang w:val="en-US" w:eastAsia="zh-CN"/>
              </w:rPr>
              <w:t>3</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val="en-US" w:eastAsia="zh-CN"/>
              </w:rPr>
            </w:pPr>
            <w:r>
              <w:rPr>
                <w:rFonts w:hint="eastAsia" w:ascii="仿宋_GB2312" w:hAnsi="等线" w:eastAsia="仿宋_GB2312" w:cs="宋体"/>
                <w:color w:val="333333"/>
                <w:kern w:val="0"/>
                <w:sz w:val="21"/>
                <w:szCs w:val="21"/>
                <w:lang w:val="en-US" w:eastAsia="zh-CN"/>
              </w:rPr>
              <w:t>3</w:t>
            </w:r>
          </w:p>
        </w:tc>
      </w:tr>
      <w:tr>
        <w:tblPrEx>
          <w:tblLayout w:type="fixed"/>
          <w:tblCellMar>
            <w:top w:w="0" w:type="dxa"/>
            <w:left w:w="108" w:type="dxa"/>
            <w:bottom w:w="0" w:type="dxa"/>
            <w:right w:w="108" w:type="dxa"/>
          </w:tblCellMar>
        </w:tblPrEx>
        <w:trPr>
          <w:trHeight w:val="573" w:hRule="atLeast"/>
        </w:trPr>
        <w:tc>
          <w:tcPr>
            <w:tcW w:w="3828"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ascii="仿宋_GB2312" w:hAnsi="等线" w:eastAsia="仿宋_GB2312" w:cs="宋体"/>
                <w:color w:val="333333"/>
                <w:kern w:val="0"/>
                <w:sz w:val="21"/>
                <w:szCs w:val="21"/>
              </w:rPr>
            </w:pPr>
            <w:r>
              <w:rPr>
                <w:rFonts w:hint="eastAsia" w:ascii="仿宋_GB2312" w:hAnsi="等线" w:eastAsia="仿宋_GB2312" w:cs="宋体"/>
                <w:color w:val="333333"/>
                <w:kern w:val="0"/>
                <w:sz w:val="21"/>
                <w:szCs w:val="21"/>
              </w:rPr>
              <w:t>四、结转下年度继续办理</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9"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70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left"/>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c>
          <w:tcPr>
            <w:tcW w:w="99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auto"/>
              <w:rPr>
                <w:rFonts w:hint="eastAsia" w:ascii="仿宋_GB2312" w:hAnsi="等线" w:eastAsia="仿宋_GB2312" w:cs="宋体"/>
                <w:color w:val="333333"/>
                <w:kern w:val="0"/>
                <w:sz w:val="21"/>
                <w:szCs w:val="21"/>
                <w:lang w:eastAsia="zh-CN"/>
              </w:rPr>
            </w:pPr>
            <w:r>
              <w:rPr>
                <w:rFonts w:hint="eastAsia" w:ascii="仿宋_GB2312" w:hAnsi="等线" w:eastAsia="仿宋_GB2312" w:cs="宋体"/>
                <w:color w:val="333333"/>
                <w:kern w:val="0"/>
                <w:sz w:val="21"/>
                <w:szCs w:val="21"/>
                <w:lang w:val="en-US" w:eastAsia="zh-CN"/>
              </w:rPr>
              <w:t>0</w:t>
            </w:r>
          </w:p>
        </w:tc>
      </w:tr>
    </w:tbl>
    <w:p>
      <w:pPr>
        <w:keepNext w:val="0"/>
        <w:keepLines w:val="0"/>
        <w:pageBreakBefore w:val="0"/>
        <w:numPr>
          <w:ilvl w:val="0"/>
          <w:numId w:val="0"/>
        </w:numPr>
        <w:kinsoku/>
        <w:wordWrap/>
        <w:overflowPunct/>
        <w:topLinePunct w:val="0"/>
        <w:autoSpaceDE/>
        <w:autoSpaceDN/>
        <w:bidi w:val="0"/>
        <w:adjustRightInd/>
        <w:spacing w:line="600" w:lineRule="exact"/>
        <w:ind w:left="640" w:leftChars="0" w:right="0" w:rightChars="0"/>
        <w:textAlignment w:val="auto"/>
        <w:rPr>
          <w:rFonts w:hint="eastAsia" w:ascii="黑体" w:hAnsi="黑体" w:eastAsia="黑体" w:cs="黑体"/>
          <w:sz w:val="32"/>
          <w:szCs w:val="32"/>
          <w:lang w:eastAsia="zh-CN"/>
        </w:rPr>
      </w:pPr>
    </w:p>
    <w:p>
      <w:pPr>
        <w:keepNext w:val="0"/>
        <w:keepLines w:val="0"/>
        <w:pageBreakBefore w:val="0"/>
        <w:numPr>
          <w:ilvl w:val="0"/>
          <w:numId w:val="0"/>
        </w:numPr>
        <w:kinsoku/>
        <w:wordWrap/>
        <w:overflowPunct/>
        <w:topLinePunct w:val="0"/>
        <w:autoSpaceDE/>
        <w:autoSpaceDN/>
        <w:bidi w:val="0"/>
        <w:adjustRightInd/>
        <w:spacing w:line="600" w:lineRule="exact"/>
        <w:ind w:left="640" w:leftChars="0" w:right="0" w:righ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四、政府信息公开行政复议、行政诉讼情况</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textAlignment w:val="auto"/>
        <w:rPr>
          <w:rFonts w:hint="eastAsia" w:ascii="黑体" w:hAnsi="黑体" w:eastAsia="黑体" w:cs="黑体"/>
          <w:sz w:val="32"/>
          <w:szCs w:val="32"/>
          <w:lang w:eastAsia="zh-CN"/>
        </w:rPr>
      </w:pPr>
    </w:p>
    <w:tbl>
      <w:tblPr>
        <w:tblStyle w:val="8"/>
        <w:tblW w:w="9356"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623"/>
        <w:gridCol w:w="623"/>
        <w:gridCol w:w="623"/>
        <w:gridCol w:w="623"/>
        <w:gridCol w:w="678"/>
        <w:gridCol w:w="568"/>
        <w:gridCol w:w="624"/>
        <w:gridCol w:w="624"/>
        <w:gridCol w:w="624"/>
        <w:gridCol w:w="624"/>
        <w:gridCol w:w="624"/>
        <w:gridCol w:w="624"/>
        <w:gridCol w:w="624"/>
        <w:gridCol w:w="625"/>
        <w:gridCol w:w="62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696" w:hRule="atLeast"/>
          <w:jc w:val="center"/>
        </w:trPr>
        <w:tc>
          <w:tcPr>
            <w:tcW w:w="317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color w:val="000000"/>
              </w:rPr>
            </w:pPr>
            <w:r>
              <w:rPr>
                <w:rFonts w:hint="eastAsia" w:ascii="宋体" w:eastAsia="宋体" w:cs="宋体"/>
                <w:color w:val="000000"/>
                <w:kern w:val="0"/>
                <w:sz w:val="20"/>
                <w:lang w:bidi="ar-SA"/>
              </w:rPr>
              <w:t>行政复议</w:t>
            </w:r>
          </w:p>
        </w:tc>
        <w:tc>
          <w:tcPr>
            <w:tcW w:w="6186"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color w:val="000000"/>
              </w:rPr>
            </w:pPr>
            <w:r>
              <w:rPr>
                <w:rFonts w:hint="eastAsia" w:ascii="宋体" w:eastAsia="宋体" w:cs="宋体"/>
                <w:color w:val="000000"/>
                <w:kern w:val="0"/>
                <w:sz w:val="20"/>
                <w:lang w:bidi="ar-SA"/>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479" w:hRule="atLeast"/>
          <w:jc w:val="center"/>
        </w:trPr>
        <w:tc>
          <w:tcPr>
            <w:tcW w:w="62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color w:val="000000"/>
              </w:rPr>
            </w:pPr>
            <w:r>
              <w:rPr>
                <w:rFonts w:hint="eastAsia" w:ascii="宋体" w:eastAsia="宋体" w:cs="宋体"/>
                <w:color w:val="000000"/>
                <w:kern w:val="0"/>
                <w:sz w:val="20"/>
                <w:lang w:bidi="ar-SA"/>
              </w:rPr>
              <w:t>结果维持</w:t>
            </w:r>
          </w:p>
        </w:tc>
        <w:tc>
          <w:tcPr>
            <w:tcW w:w="62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color w:val="000000"/>
              </w:rPr>
            </w:pPr>
            <w:r>
              <w:rPr>
                <w:rFonts w:hint="eastAsia" w:ascii="宋体" w:eastAsia="宋体" w:cs="宋体"/>
                <w:color w:val="000000"/>
                <w:kern w:val="0"/>
                <w:sz w:val="20"/>
                <w:lang w:bidi="ar-SA"/>
              </w:rPr>
              <w:t>结果纠正</w:t>
            </w:r>
          </w:p>
        </w:tc>
        <w:tc>
          <w:tcPr>
            <w:tcW w:w="623"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color w:val="000000"/>
              </w:rPr>
            </w:pPr>
            <w:r>
              <w:rPr>
                <w:rFonts w:hint="eastAsia" w:ascii="宋体" w:eastAsia="宋体" w:cs="宋体"/>
                <w:color w:val="000000"/>
                <w:kern w:val="0"/>
                <w:sz w:val="20"/>
                <w:lang w:bidi="ar-SA"/>
              </w:rPr>
              <w:t>其他结果</w:t>
            </w:r>
          </w:p>
        </w:tc>
        <w:tc>
          <w:tcPr>
            <w:tcW w:w="623"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color w:val="000000"/>
              </w:rPr>
            </w:pPr>
            <w:r>
              <w:rPr>
                <w:rFonts w:hint="eastAsia" w:ascii="宋体" w:eastAsia="宋体" w:cs="宋体"/>
                <w:color w:val="000000"/>
                <w:kern w:val="0"/>
                <w:sz w:val="20"/>
                <w:lang w:bidi="ar-SA"/>
              </w:rPr>
              <w:t>尚未审结</w:t>
            </w:r>
          </w:p>
        </w:tc>
        <w:tc>
          <w:tcPr>
            <w:tcW w:w="67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color w:val="000000"/>
              </w:rPr>
            </w:pPr>
            <w:r>
              <w:rPr>
                <w:rFonts w:hint="eastAsia" w:ascii="宋体" w:eastAsia="宋体" w:cs="宋体"/>
                <w:color w:val="000000"/>
                <w:kern w:val="0"/>
                <w:sz w:val="20"/>
                <w:lang w:bidi="ar-SA"/>
              </w:rPr>
              <w:t>总计</w:t>
            </w:r>
          </w:p>
        </w:tc>
        <w:tc>
          <w:tcPr>
            <w:tcW w:w="3064"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color w:val="000000"/>
              </w:rPr>
            </w:pPr>
            <w:r>
              <w:rPr>
                <w:rFonts w:hint="eastAsia" w:ascii="宋体" w:eastAsia="宋体" w:cs="宋体"/>
                <w:color w:val="000000"/>
                <w:kern w:val="0"/>
                <w:sz w:val="20"/>
                <w:lang w:bidi="ar-SA"/>
              </w:rPr>
              <w:t>未经复议直接起诉</w:t>
            </w:r>
          </w:p>
        </w:tc>
        <w:tc>
          <w:tcPr>
            <w:tcW w:w="312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color w:val="000000"/>
              </w:rPr>
            </w:pPr>
            <w:r>
              <w:rPr>
                <w:rFonts w:hint="eastAsia" w:ascii="宋体" w:eastAsia="宋体" w:cs="宋体"/>
                <w:color w:val="000000"/>
                <w:kern w:val="0"/>
                <w:sz w:val="20"/>
                <w:lang w:bidi="ar-SA"/>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318" w:hRule="atLeast"/>
          <w:jc w:val="center"/>
        </w:trPr>
        <w:tc>
          <w:tcPr>
            <w:tcW w:w="623"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600" w:lineRule="exact"/>
              <w:ind w:left="0" w:leftChars="0" w:right="0" w:rightChars="0"/>
              <w:textAlignment w:val="auto"/>
            </w:pPr>
          </w:p>
        </w:tc>
        <w:tc>
          <w:tcPr>
            <w:tcW w:w="623"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600" w:lineRule="exact"/>
              <w:ind w:left="0" w:leftChars="0" w:right="0" w:rightChars="0"/>
              <w:textAlignment w:val="auto"/>
            </w:pPr>
          </w:p>
        </w:tc>
        <w:tc>
          <w:tcPr>
            <w:tcW w:w="623"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600" w:lineRule="exact"/>
              <w:ind w:left="0" w:leftChars="0" w:right="0" w:rightChars="0"/>
              <w:textAlignment w:val="auto"/>
            </w:pPr>
          </w:p>
        </w:tc>
        <w:tc>
          <w:tcPr>
            <w:tcW w:w="623"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600" w:lineRule="exact"/>
              <w:ind w:left="0" w:leftChars="0" w:right="0" w:rightChars="0"/>
              <w:textAlignment w:val="auto"/>
            </w:pPr>
          </w:p>
        </w:tc>
        <w:tc>
          <w:tcPr>
            <w:tcW w:w="678"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600" w:lineRule="exact"/>
              <w:ind w:left="0" w:leftChars="0" w:right="0" w:rightChars="0"/>
              <w:textAlignment w:val="auto"/>
            </w:pPr>
          </w:p>
        </w:tc>
        <w:tc>
          <w:tcPr>
            <w:tcW w:w="56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color w:val="000000"/>
              </w:rPr>
            </w:pPr>
            <w:r>
              <w:rPr>
                <w:rFonts w:hint="eastAsia" w:ascii="宋体" w:eastAsia="宋体" w:cs="宋体"/>
                <w:color w:val="000000"/>
                <w:kern w:val="0"/>
                <w:sz w:val="20"/>
                <w:lang w:bidi="ar-SA"/>
              </w:rPr>
              <w:t>结果维持</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color w:val="000000"/>
              </w:rPr>
            </w:pPr>
            <w:r>
              <w:rPr>
                <w:rFonts w:hint="eastAsia" w:ascii="宋体" w:eastAsia="宋体" w:cs="宋体"/>
                <w:color w:val="000000"/>
                <w:kern w:val="0"/>
                <w:sz w:val="20"/>
                <w:lang w:bidi="ar-SA"/>
              </w:rPr>
              <w:t>结果纠正</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color w:val="000000"/>
              </w:rPr>
            </w:pPr>
            <w:r>
              <w:rPr>
                <w:rFonts w:hint="eastAsia" w:ascii="宋体" w:eastAsia="宋体" w:cs="宋体"/>
                <w:color w:val="000000"/>
                <w:kern w:val="0"/>
                <w:sz w:val="20"/>
                <w:lang w:bidi="ar-SA"/>
              </w:rPr>
              <w:t>其他结果</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color w:val="000000"/>
              </w:rPr>
            </w:pPr>
            <w:r>
              <w:rPr>
                <w:rFonts w:hint="eastAsia" w:ascii="宋体" w:eastAsia="宋体" w:cs="宋体"/>
                <w:color w:val="000000"/>
                <w:kern w:val="0"/>
                <w:sz w:val="20"/>
                <w:lang w:bidi="ar-SA"/>
              </w:rPr>
              <w:t>尚未审结</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color w:val="000000"/>
              </w:rPr>
            </w:pPr>
            <w:r>
              <w:rPr>
                <w:rFonts w:hint="eastAsia" w:ascii="宋体" w:eastAsia="宋体" w:cs="宋体"/>
                <w:color w:val="000000"/>
                <w:kern w:val="0"/>
                <w:sz w:val="20"/>
                <w:lang w:bidi="ar-SA"/>
              </w:rPr>
              <w:t>总计</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color w:val="000000"/>
              </w:rPr>
            </w:pPr>
            <w:r>
              <w:rPr>
                <w:rFonts w:hint="eastAsia" w:ascii="宋体" w:eastAsia="宋体" w:cs="宋体"/>
                <w:color w:val="000000"/>
                <w:kern w:val="0"/>
                <w:sz w:val="20"/>
                <w:lang w:bidi="ar-SA"/>
              </w:rPr>
              <w:t>结果维持</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color w:val="000000"/>
              </w:rPr>
            </w:pPr>
            <w:r>
              <w:rPr>
                <w:rFonts w:hint="eastAsia" w:ascii="宋体" w:eastAsia="宋体" w:cs="宋体"/>
                <w:color w:val="000000"/>
                <w:kern w:val="0"/>
                <w:sz w:val="20"/>
                <w:lang w:bidi="ar-SA"/>
              </w:rPr>
              <w:t>结果纠正</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color w:val="000000"/>
              </w:rPr>
            </w:pPr>
            <w:r>
              <w:rPr>
                <w:rFonts w:hint="eastAsia" w:ascii="宋体" w:eastAsia="宋体" w:cs="宋体"/>
                <w:color w:val="000000"/>
                <w:kern w:val="0"/>
                <w:sz w:val="20"/>
                <w:lang w:bidi="ar-SA"/>
              </w:rPr>
              <w:t>其他结果</w:t>
            </w:r>
          </w:p>
        </w:tc>
        <w:tc>
          <w:tcPr>
            <w:tcW w:w="6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color w:val="000000"/>
              </w:rPr>
            </w:pPr>
            <w:r>
              <w:rPr>
                <w:rFonts w:hint="eastAsia" w:ascii="宋体" w:eastAsia="宋体" w:cs="宋体"/>
                <w:color w:val="000000"/>
                <w:kern w:val="0"/>
                <w:sz w:val="20"/>
                <w:lang w:bidi="ar-SA"/>
              </w:rPr>
              <w:t>尚未审结</w:t>
            </w:r>
          </w:p>
        </w:tc>
        <w:tc>
          <w:tcPr>
            <w:tcW w:w="6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color w:val="000000"/>
              </w:rPr>
            </w:pPr>
            <w:r>
              <w:rPr>
                <w:rFonts w:hint="eastAsia" w:ascii="宋体" w:eastAsia="宋体" w:cs="宋体"/>
                <w:color w:val="000000"/>
                <w:kern w:val="0"/>
                <w:sz w:val="20"/>
                <w:lang w:bidi="ar-SA"/>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696" w:hRule="atLeast"/>
          <w:jc w:val="center"/>
        </w:trPr>
        <w:tc>
          <w:tcPr>
            <w:tcW w:w="62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eastAsia="方正仿宋_GBK" w:asciiTheme="minorAscii"/>
                <w:color w:val="000000"/>
                <w:lang w:eastAsia="zh-CN"/>
              </w:rPr>
            </w:pPr>
            <w:r>
              <w:rPr>
                <w:rFonts w:hint="eastAsia" w:hAnsi="Calibri" w:cs="Calibri" w:asciiTheme="minorAscii"/>
                <w:color w:val="000000"/>
                <w:kern w:val="0"/>
                <w:sz w:val="20"/>
                <w:lang w:val="en-US" w:eastAsia="zh-CN" w:bidi="ar-SA"/>
              </w:rPr>
              <w:t>0</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eastAsia="方正仿宋_GBK" w:asciiTheme="minorAscii"/>
                <w:color w:val="000000"/>
                <w:lang w:eastAsia="zh-CN"/>
              </w:rPr>
            </w:pPr>
            <w:r>
              <w:rPr>
                <w:rFonts w:hint="eastAsia" w:hAnsi="Calibri" w:cs="Calibri" w:asciiTheme="minorAscii"/>
                <w:color w:val="000000"/>
                <w:kern w:val="0"/>
                <w:sz w:val="20"/>
                <w:lang w:val="en-US" w:eastAsia="zh-CN" w:bidi="ar-SA"/>
              </w:rPr>
              <w:t>0</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eastAsia="方正仿宋_GBK" w:asciiTheme="minorAscii"/>
                <w:color w:val="000000"/>
                <w:lang w:eastAsia="zh-CN"/>
              </w:rPr>
            </w:pPr>
            <w:r>
              <w:rPr>
                <w:rFonts w:hint="eastAsia" w:hAnsi="Calibri" w:cs="Calibri" w:asciiTheme="minorAscii"/>
                <w:color w:val="000000"/>
                <w:kern w:val="0"/>
                <w:sz w:val="20"/>
                <w:lang w:val="en-US" w:eastAsia="zh-CN" w:bidi="ar-SA"/>
              </w:rPr>
              <w:t>0</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eastAsia="方正仿宋_GBK" w:asciiTheme="minorAscii"/>
                <w:color w:val="000000"/>
                <w:lang w:eastAsia="zh-CN"/>
              </w:rPr>
            </w:pPr>
            <w:r>
              <w:rPr>
                <w:rFonts w:hint="eastAsia" w:hAnsi="Calibri" w:cs="Calibri" w:asciiTheme="minorAscii"/>
                <w:color w:val="000000"/>
                <w:kern w:val="0"/>
                <w:sz w:val="20"/>
                <w:lang w:val="en-US" w:eastAsia="zh-CN" w:bidi="ar-SA"/>
              </w:rPr>
              <w:t>0</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eastAsia="方正仿宋_GBK" w:asciiTheme="minorAscii"/>
                <w:color w:val="000000"/>
                <w:lang w:eastAsia="zh-CN"/>
              </w:rPr>
            </w:pPr>
            <w:r>
              <w:rPr>
                <w:rFonts w:hint="eastAsia" w:hAnsi="Calibri" w:cs="Calibri" w:asciiTheme="minorAscii"/>
                <w:color w:val="000000"/>
                <w:kern w:val="0"/>
                <w:sz w:val="20"/>
                <w:lang w:val="en-US" w:eastAsia="zh-CN" w:bidi="ar-SA"/>
              </w:rPr>
              <w:t>0</w:t>
            </w:r>
          </w:p>
        </w:tc>
        <w:tc>
          <w:tcPr>
            <w:tcW w:w="56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eastAsia="方正仿宋_GBK" w:asciiTheme="minorAscii"/>
                <w:color w:val="000000"/>
                <w:lang w:eastAsia="zh-CN"/>
              </w:rPr>
            </w:pPr>
            <w:r>
              <w:rPr>
                <w:rFonts w:hint="eastAsia" w:eastAsia="宋体" w:cs="宋体" w:asciiTheme="minorAscii"/>
                <w:color w:val="000000"/>
                <w:kern w:val="0"/>
                <w:sz w:val="20"/>
                <w:lang w:val="en-US" w:eastAsia="zh-CN" w:bidi="ar-SA"/>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eastAsia="方正仿宋_GBK" w:asciiTheme="minorAscii"/>
                <w:color w:val="000000"/>
                <w:lang w:eastAsia="zh-CN"/>
              </w:rPr>
            </w:pPr>
            <w:r>
              <w:rPr>
                <w:rFonts w:hint="eastAsia" w:eastAsia="宋体" w:cs="宋体" w:asciiTheme="minorAscii"/>
                <w:color w:val="000000"/>
                <w:kern w:val="0"/>
                <w:sz w:val="20"/>
                <w:lang w:val="en-US" w:eastAsia="zh-CN" w:bidi="ar-SA"/>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eastAsia="方正仿宋_GBK" w:asciiTheme="minorAscii"/>
                <w:color w:val="000000"/>
                <w:lang w:eastAsia="zh-CN"/>
              </w:rPr>
            </w:pPr>
            <w:r>
              <w:rPr>
                <w:rFonts w:hint="eastAsia" w:hAnsi="等线" w:eastAsia="仿宋_GB2312" w:cs="宋体" w:asciiTheme="minorAscii"/>
                <w:color w:val="333333"/>
                <w:kern w:val="0"/>
                <w:sz w:val="21"/>
                <w:szCs w:val="21"/>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asciiTheme="minorAscii"/>
                <w:color w:val="000000"/>
              </w:rPr>
            </w:pPr>
            <w:r>
              <w:rPr>
                <w:rFonts w:hint="eastAsia" w:eastAsia="宋体" w:cs="宋体" w:asciiTheme="minorAscii"/>
                <w:color w:val="000000"/>
                <w:kern w:val="0"/>
                <w:sz w:val="20"/>
                <w:lang w:bidi="ar-SA"/>
              </w:rPr>
              <w:t> </w:t>
            </w:r>
            <w:r>
              <w:rPr>
                <w:rFonts w:hint="eastAsia" w:hAnsi="等线" w:eastAsia="仿宋_GB2312" w:cs="宋体" w:asciiTheme="minorAscii"/>
                <w:color w:val="333333"/>
                <w:kern w:val="0"/>
                <w:sz w:val="21"/>
                <w:szCs w:val="21"/>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eastAsia="方正仿宋_GBK" w:asciiTheme="minorAscii"/>
                <w:color w:val="000000"/>
                <w:lang w:eastAsia="zh-CN"/>
              </w:rPr>
            </w:pPr>
            <w:r>
              <w:rPr>
                <w:rFonts w:hint="eastAsia" w:eastAsia="宋体" w:cs="宋体" w:asciiTheme="minorAscii"/>
                <w:color w:val="000000"/>
                <w:kern w:val="0"/>
                <w:sz w:val="20"/>
                <w:lang w:val="en-US" w:eastAsia="zh-CN" w:bidi="ar-SA"/>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eastAsia="方正仿宋_GBK" w:asciiTheme="minorAscii"/>
                <w:color w:val="000000"/>
                <w:lang w:eastAsia="zh-CN"/>
              </w:rPr>
            </w:pPr>
            <w:r>
              <w:rPr>
                <w:rFonts w:hint="eastAsia" w:hAnsi="等线" w:eastAsia="仿宋_GB2312" w:cs="宋体" w:asciiTheme="minorAscii"/>
                <w:color w:val="333333"/>
                <w:kern w:val="0"/>
                <w:sz w:val="21"/>
                <w:szCs w:val="21"/>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eastAsia="方正仿宋_GBK" w:asciiTheme="minorAscii"/>
                <w:color w:val="000000"/>
                <w:lang w:eastAsia="zh-CN"/>
              </w:rPr>
            </w:pPr>
            <w:r>
              <w:rPr>
                <w:rFonts w:hint="eastAsia" w:eastAsia="宋体" w:cs="宋体" w:asciiTheme="minorAscii"/>
                <w:color w:val="000000"/>
                <w:kern w:val="0"/>
                <w:sz w:val="20"/>
                <w:lang w:val="en-US" w:eastAsia="zh-CN" w:bidi="ar-SA"/>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eastAsia="方正仿宋_GBK" w:asciiTheme="minorAscii"/>
                <w:color w:val="000000"/>
                <w:lang w:eastAsia="zh-CN"/>
              </w:rPr>
            </w:pPr>
            <w:r>
              <w:rPr>
                <w:rFonts w:hint="eastAsia" w:eastAsia="宋体" w:cs="宋体" w:asciiTheme="minorAscii"/>
                <w:color w:val="000000"/>
                <w:kern w:val="0"/>
                <w:sz w:val="20"/>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600" w:lineRule="exact"/>
              <w:ind w:left="0" w:leftChars="0" w:right="0" w:rightChars="0"/>
              <w:jc w:val="center"/>
              <w:textAlignment w:val="auto"/>
              <w:rPr>
                <w:rFonts w:hint="eastAsia" w:eastAsia="方正仿宋_GBK" w:asciiTheme="minorAscii"/>
                <w:color w:val="000000"/>
                <w:lang w:eastAsia="zh-CN"/>
              </w:rPr>
            </w:pPr>
            <w:r>
              <w:rPr>
                <w:rFonts w:hint="eastAsia" w:eastAsia="宋体" w:cs="宋体" w:asciiTheme="minorAscii"/>
                <w:color w:val="000000"/>
                <w:kern w:val="0"/>
                <w:sz w:val="20"/>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600" w:lineRule="exact"/>
              <w:ind w:left="0" w:leftChars="0" w:right="0" w:rightChars="0"/>
              <w:textAlignment w:val="auto"/>
              <w:rPr>
                <w:rFonts w:hint="eastAsia" w:hAnsi="宋体" w:eastAsia="方正仿宋_GBK" w:asciiTheme="minorAscii"/>
                <w:color w:val="000000"/>
                <w:sz w:val="24"/>
                <w:szCs w:val="24"/>
                <w:lang w:eastAsia="zh-CN"/>
              </w:rPr>
            </w:pPr>
            <w:r>
              <w:rPr>
                <w:rFonts w:hint="eastAsia" w:hAnsi="等线" w:eastAsia="仿宋_GB2312" w:cs="宋体" w:asciiTheme="minorAscii"/>
                <w:color w:val="333333"/>
                <w:kern w:val="0"/>
                <w:sz w:val="21"/>
                <w:szCs w:val="21"/>
                <w:lang w:val="en-US" w:eastAsia="zh-CN"/>
              </w:rPr>
              <w:t>0</w:t>
            </w:r>
          </w:p>
        </w:tc>
      </w:tr>
    </w:tbl>
    <w:p>
      <w:pPr>
        <w:keepNext w:val="0"/>
        <w:keepLines w:val="0"/>
        <w:pageBreakBefore w:val="0"/>
        <w:numPr>
          <w:ilvl w:val="0"/>
          <w:numId w:val="0"/>
        </w:numPr>
        <w:kinsoku/>
        <w:wordWrap/>
        <w:overflowPunct/>
        <w:topLinePunct w:val="0"/>
        <w:autoSpaceDE/>
        <w:autoSpaceDN/>
        <w:bidi w:val="0"/>
        <w:adjustRightInd/>
        <w:spacing w:line="600" w:lineRule="exact"/>
        <w:ind w:left="640" w:leftChars="0" w:right="0" w:rightChars="0"/>
        <w:textAlignment w:val="auto"/>
        <w:rPr>
          <w:rFonts w:hint="eastAsia" w:ascii="黑体" w:hAnsi="黑体" w:eastAsia="黑体" w:cs="黑体"/>
          <w:sz w:val="32"/>
          <w:szCs w:val="32"/>
          <w:lang w:eastAsia="zh-CN"/>
        </w:rPr>
      </w:pPr>
    </w:p>
    <w:p>
      <w:pPr>
        <w:keepNext w:val="0"/>
        <w:keepLines w:val="0"/>
        <w:pageBreakBefore w:val="0"/>
        <w:numPr>
          <w:ilvl w:val="0"/>
          <w:numId w:val="3"/>
        </w:numPr>
        <w:kinsoku/>
        <w:wordWrap/>
        <w:overflowPunct/>
        <w:topLinePunct w:val="0"/>
        <w:autoSpaceDE/>
        <w:autoSpaceDN/>
        <w:bidi w:val="0"/>
        <w:adjustRightInd/>
        <w:spacing w:line="600" w:lineRule="exact"/>
        <w:ind w:left="640" w:leftChars="0" w:right="0" w:righ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存在的问题及改进情况</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（一）存在的问题。</w:t>
      </w:r>
      <w:r>
        <w:rPr>
          <w:rFonts w:hint="eastAsia" w:ascii="仿宋" w:hAnsi="仿宋" w:eastAsia="仿宋" w:cs="仿宋"/>
          <w:sz w:val="32"/>
          <w:szCs w:val="32"/>
          <w:lang w:val="en-US" w:eastAsia="zh-CN"/>
        </w:rPr>
        <w:t>重点领域信息公开仍需加强，系统规范公开有关信息的水平需要提升</w:t>
      </w:r>
      <w:r>
        <w:rPr>
          <w:rFonts w:hint="eastAsia" w:eastAsia="仿宋" w:cs="仿宋"/>
          <w:sz w:val="32"/>
          <w:szCs w:val="32"/>
          <w:lang w:val="en-US" w:eastAsia="zh-CN"/>
        </w:rPr>
        <w:t>；</w:t>
      </w:r>
      <w:r>
        <w:rPr>
          <w:rFonts w:hint="eastAsia" w:ascii="仿宋" w:hAnsi="仿宋" w:eastAsia="仿宋" w:cs="仿宋"/>
          <w:sz w:val="32"/>
          <w:szCs w:val="32"/>
          <w:lang w:val="en-US" w:eastAsia="zh-CN"/>
        </w:rPr>
        <w:t>政府信息公开工作创新</w:t>
      </w:r>
      <w:r>
        <w:rPr>
          <w:rFonts w:hint="eastAsia" w:eastAsia="仿宋" w:cs="仿宋"/>
          <w:sz w:val="32"/>
          <w:szCs w:val="32"/>
          <w:lang w:val="en-US" w:eastAsia="zh-CN"/>
        </w:rPr>
        <w:t>力度不够，</w:t>
      </w:r>
      <w:r>
        <w:rPr>
          <w:rFonts w:hint="eastAsia" w:ascii="仿宋" w:hAnsi="仿宋" w:eastAsia="仿宋" w:cs="仿宋"/>
          <w:sz w:val="32"/>
          <w:szCs w:val="32"/>
          <w:lang w:val="en-US" w:eastAsia="zh-CN"/>
        </w:rPr>
        <w:t>工作精细化</w:t>
      </w:r>
      <w:r>
        <w:rPr>
          <w:rFonts w:hint="eastAsia" w:eastAsia="仿宋" w:cs="仿宋"/>
          <w:sz w:val="32"/>
          <w:szCs w:val="32"/>
          <w:lang w:val="en-US" w:eastAsia="zh-CN"/>
        </w:rPr>
        <w:t>水平还不高</w:t>
      </w:r>
      <w:r>
        <w:rPr>
          <w:rFonts w:hint="eastAsia" w:ascii="仿宋" w:hAnsi="仿宋" w:eastAsia="仿宋" w:cs="仿宋"/>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（二）改进情况。</w:t>
      </w: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firstLine="64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严格</w:t>
      </w:r>
      <w:r>
        <w:rPr>
          <w:rFonts w:hint="eastAsia" w:eastAsia="仿宋" w:cs="仿宋"/>
          <w:sz w:val="32"/>
          <w:szCs w:val="32"/>
          <w:lang w:val="en-US" w:eastAsia="zh-CN"/>
        </w:rPr>
        <w:t>自治区</w:t>
      </w:r>
      <w:r>
        <w:rPr>
          <w:rFonts w:hint="eastAsia" w:ascii="仿宋" w:hAnsi="仿宋" w:eastAsia="仿宋" w:cs="仿宋"/>
          <w:sz w:val="32"/>
          <w:szCs w:val="32"/>
          <w:lang w:val="en-US" w:eastAsia="zh-CN"/>
        </w:rPr>
        <w:t>按照政务服务局相关</w:t>
      </w:r>
      <w:r>
        <w:rPr>
          <w:rFonts w:hint="eastAsia" w:eastAsia="仿宋" w:cs="仿宋"/>
          <w:sz w:val="32"/>
          <w:szCs w:val="32"/>
          <w:lang w:val="en-US" w:eastAsia="zh-CN"/>
        </w:rPr>
        <w:t>要求，不断完善门户网站政府信息公开栏目，将政务信息公开栏目顶置于网站首页显著位置，并进一步优化、完善相关子栏目设置，新建“惠企政策”栏目，集中展示本部门惠企相关政策，最大限度方便企业及群众了解相关政策。</w:t>
      </w:r>
      <w:r>
        <w:rPr>
          <w:rFonts w:hint="eastAsia" w:eastAsia="仿宋" w:cs="仿宋"/>
          <w:b/>
          <w:bCs/>
          <w:sz w:val="32"/>
          <w:szCs w:val="32"/>
          <w:lang w:val="en-US" w:eastAsia="zh-CN"/>
        </w:rPr>
        <w:t>二是</w:t>
      </w:r>
      <w:r>
        <w:rPr>
          <w:rFonts w:hint="eastAsia" w:eastAsia="仿宋" w:cs="仿宋"/>
          <w:sz w:val="32"/>
          <w:szCs w:val="32"/>
          <w:lang w:val="en-US" w:eastAsia="zh-CN"/>
        </w:rPr>
        <w:t>注重听取广大网民对于政务公开工作相关意见，在门户开展相关工作民意征集和在线调查2期，听取网民对于自治区民委政府信息公开工作的相关意见建议，不断加强和改进工作。</w:t>
      </w:r>
      <w:r>
        <w:rPr>
          <w:rFonts w:hint="eastAsia" w:eastAsia="仿宋" w:cs="仿宋"/>
          <w:b/>
          <w:bCs/>
          <w:sz w:val="32"/>
          <w:szCs w:val="32"/>
          <w:lang w:val="en-US" w:eastAsia="zh-CN"/>
        </w:rPr>
        <w:t>三是</w:t>
      </w:r>
      <w:r>
        <w:rPr>
          <w:rFonts w:hint="eastAsia" w:eastAsia="仿宋" w:cs="仿宋"/>
          <w:sz w:val="32"/>
          <w:szCs w:val="32"/>
          <w:lang w:val="en-US" w:eastAsia="zh-CN"/>
        </w:rPr>
        <w:t>认真贯彻落实《国务院办公厅关于印发政府网站发展指引的通知》要求，增加网站无障碍适老化辅助功能，满足特殊群体无障碍适老化访问网页的需求，解决老年人、残疾人等特殊群体运用智能技术困难，提升互联网应用适老化水平及无障碍适老化普及率问题，提高政府信息与服务的可用性和易用性，帮助特殊群体更方便地获取政务信息、参与政民互动、享受政务服务。</w:t>
      </w:r>
    </w:p>
    <w:p>
      <w:pPr>
        <w:keepNext w:val="0"/>
        <w:keepLines w:val="0"/>
        <w:pageBreakBefore w:val="0"/>
        <w:numPr>
          <w:ilvl w:val="0"/>
          <w:numId w:val="3"/>
        </w:numPr>
        <w:kinsoku/>
        <w:wordWrap/>
        <w:overflowPunct/>
        <w:topLinePunct w:val="0"/>
        <w:autoSpaceDE/>
        <w:autoSpaceDN/>
        <w:bidi w:val="0"/>
        <w:adjustRightInd/>
        <w:spacing w:line="600" w:lineRule="exact"/>
        <w:ind w:left="640" w:leftChars="0" w:right="0" w:righ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其他需报告的事项</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仿宋_GB2312" w:hAnsi="仿宋" w:eastAsia="仿宋_GB2312" w:cs="Times New Roman"/>
          <w:b w:val="0"/>
          <w:kern w:val="2"/>
          <w:sz w:val="32"/>
          <w:szCs w:val="32"/>
          <w:lang w:val="en-US" w:eastAsia="zh-CN" w:bidi="ar-SA"/>
        </w:rPr>
      </w:pPr>
      <w:r>
        <w:rPr>
          <w:rFonts w:hint="eastAsia" w:ascii="仿宋_GB2312" w:hAnsi="仿宋" w:eastAsia="仿宋_GB2312" w:cs="Times New Roman"/>
          <w:b w:val="0"/>
          <w:kern w:val="2"/>
          <w:sz w:val="32"/>
          <w:szCs w:val="32"/>
          <w:lang w:val="en-US" w:eastAsia="zh-CN" w:bidi="ar-SA"/>
        </w:rPr>
        <w:t>本年度内蒙古自治区民族事务委员会未收取政府信息公开信息处理费。持续拓展政府信息公开渠道，紧跟时</w:t>
      </w:r>
      <w:r>
        <w:rPr>
          <w:rFonts w:hint="eastAsia" w:ascii="仿宋_GB2312" w:eastAsia="仿宋_GB2312" w:cs="Times New Roman"/>
          <w:b w:val="0"/>
          <w:kern w:val="2"/>
          <w:sz w:val="32"/>
          <w:szCs w:val="32"/>
          <w:lang w:val="en-US" w:eastAsia="zh-CN" w:bidi="ar-SA"/>
        </w:rPr>
        <w:t>代发展步伐，</w:t>
      </w:r>
      <w:r>
        <w:rPr>
          <w:rFonts w:hint="eastAsia" w:ascii="仿宋_GB2312" w:hAnsi="仿宋" w:eastAsia="仿宋_GB2312" w:cs="Times New Roman"/>
          <w:b w:val="0"/>
          <w:kern w:val="2"/>
          <w:sz w:val="32"/>
          <w:szCs w:val="32"/>
          <w:lang w:val="en-US" w:eastAsia="zh-CN" w:bidi="ar-SA"/>
        </w:rPr>
        <w:t>充分发挥微信公众号、视频号等政务新媒体</w:t>
      </w:r>
      <w:r>
        <w:rPr>
          <w:rFonts w:hint="eastAsia" w:ascii="仿宋_GB2312" w:eastAsia="仿宋_GB2312" w:cs="Times New Roman"/>
          <w:b w:val="0"/>
          <w:kern w:val="2"/>
          <w:sz w:val="32"/>
          <w:szCs w:val="32"/>
          <w:lang w:val="en-US" w:eastAsia="zh-CN" w:bidi="ar-SA"/>
        </w:rPr>
        <w:t>传播面广、传播速度快等优势，运用自治区民委微信公众号、视频号广泛宣传党的民族理论和民族政策、及时刊发自治区党委政府相关政策文件等</w:t>
      </w:r>
      <w:r>
        <w:rPr>
          <w:rFonts w:hint="eastAsia" w:ascii="仿宋_GB2312" w:hAnsi="仿宋" w:eastAsia="仿宋_GB2312" w:cs="Times New Roman"/>
          <w:b w:val="0"/>
          <w:kern w:val="2"/>
          <w:sz w:val="32"/>
          <w:szCs w:val="32"/>
          <w:lang w:val="en-US" w:eastAsia="zh-CN" w:bidi="ar-SA"/>
        </w:rPr>
        <w:t>，全年共发布各类信息1267条</w:t>
      </w:r>
      <w:r>
        <w:rPr>
          <w:rFonts w:hint="eastAsia" w:ascii="仿宋_GB2312" w:eastAsia="仿宋_GB2312" w:cs="Times New Roman"/>
          <w:b w:val="0"/>
          <w:kern w:val="2"/>
          <w:sz w:val="32"/>
          <w:szCs w:val="32"/>
          <w:lang w:val="en-US" w:eastAsia="zh-CN" w:bidi="ar-SA"/>
        </w:rPr>
        <w:t>，拓展了政府信息公开渠道，提高了信息公开覆盖面。</w:t>
      </w:r>
    </w:p>
    <w:p>
      <w:pPr>
        <w:keepNext w:val="0"/>
        <w:keepLines w:val="0"/>
        <w:pageBreakBefore w:val="0"/>
        <w:kinsoku/>
        <w:wordWrap/>
        <w:overflowPunct/>
        <w:topLinePunct w:val="0"/>
        <w:autoSpaceDE/>
        <w:autoSpaceDN/>
        <w:bidi w:val="0"/>
        <w:adjustRightInd/>
        <w:spacing w:line="600" w:lineRule="exact"/>
        <w:ind w:left="0" w:leftChars="0" w:right="0" w:rightChars="0"/>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textAlignment w:val="auto"/>
        <w:rPr>
          <w:rFonts w:hint="eastAsia" w:ascii="仿宋_GB2312" w:eastAsia="仿宋_GB2312"/>
          <w:sz w:val="32"/>
          <w:szCs w:val="32"/>
          <w:lang w:eastAsia="zh-CN"/>
        </w:rPr>
      </w:pPr>
    </w:p>
    <w:p>
      <w:pPr>
        <w:keepNext w:val="0"/>
        <w:keepLines w:val="0"/>
        <w:pageBreakBefore w:val="0"/>
        <w:numPr>
          <w:ilvl w:val="0"/>
          <w:numId w:val="0"/>
        </w:numPr>
        <w:kinsoku/>
        <w:wordWrap/>
        <w:overflowPunct/>
        <w:topLinePunct w:val="0"/>
        <w:autoSpaceDE/>
        <w:autoSpaceDN/>
        <w:bidi w:val="0"/>
        <w:adjustRightInd/>
        <w:spacing w:line="600" w:lineRule="exact"/>
        <w:ind w:left="0" w:leftChars="0" w:right="0" w:rightChars="0"/>
        <w:textAlignment w:val="auto"/>
        <w:rPr>
          <w:rFonts w:hint="eastAsia" w:ascii="楷体" w:hAnsi="楷体" w:eastAsia="楷体"/>
          <w:sz w:val="32"/>
          <w:szCs w:val="32"/>
          <w:lang w:eastAsia="zh-CN"/>
        </w:rPr>
      </w:pPr>
    </w:p>
    <w:sectPr>
      <w:headerReference r:id="rId3" w:type="default"/>
      <w:footerReference r:id="rId4" w:type="default"/>
      <w:pgSz w:w="11906" w:h="16838"/>
      <w:pgMar w:top="2154" w:right="1701" w:bottom="1984" w:left="1701" w:header="851" w:footer="992"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1539669">
    <w:nsid w:val="61D7E855"/>
    <w:multiLevelType w:val="singleLevel"/>
    <w:tmpl w:val="61D7E855"/>
    <w:lvl w:ilvl="0" w:tentative="1">
      <w:start w:val="1"/>
      <w:numFmt w:val="chineseCounting"/>
      <w:suff w:val="nothing"/>
      <w:lvlText w:val="%1、"/>
      <w:lvlJc w:val="left"/>
    </w:lvl>
  </w:abstractNum>
  <w:abstractNum w:abstractNumId="1641883461">
    <w:nsid w:val="61DD2745"/>
    <w:multiLevelType w:val="singleLevel"/>
    <w:tmpl w:val="61DD2745"/>
    <w:lvl w:ilvl="0" w:tentative="1">
      <w:start w:val="3"/>
      <w:numFmt w:val="chineseCounting"/>
      <w:suff w:val="nothing"/>
      <w:lvlText w:val="%1、"/>
      <w:lvlJc w:val="left"/>
    </w:lvl>
  </w:abstractNum>
  <w:abstractNum w:abstractNumId="1641970863">
    <w:nsid w:val="61DE7CAF"/>
    <w:multiLevelType w:val="singleLevel"/>
    <w:tmpl w:val="61DE7CAF"/>
    <w:lvl w:ilvl="0" w:tentative="1">
      <w:start w:val="5"/>
      <w:numFmt w:val="chineseCounting"/>
      <w:suff w:val="nothing"/>
      <w:lvlText w:val="%1、"/>
      <w:lvlJc w:val="left"/>
    </w:lvl>
  </w:abstractNum>
  <w:num w:numId="1">
    <w:abstractNumId w:val="1641539669"/>
  </w:num>
  <w:num w:numId="2">
    <w:abstractNumId w:val="1641883461"/>
  </w:num>
  <w:num w:numId="3">
    <w:abstractNumId w:val="16419708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21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64855"/>
    <w:rsid w:val="01880FCE"/>
    <w:rsid w:val="057B6B0A"/>
    <w:rsid w:val="058434C6"/>
    <w:rsid w:val="069D7AC7"/>
    <w:rsid w:val="075140C1"/>
    <w:rsid w:val="07710871"/>
    <w:rsid w:val="0E0428E5"/>
    <w:rsid w:val="0E940B6F"/>
    <w:rsid w:val="10051307"/>
    <w:rsid w:val="174924D3"/>
    <w:rsid w:val="17D53147"/>
    <w:rsid w:val="192B18F2"/>
    <w:rsid w:val="1AAE3897"/>
    <w:rsid w:val="22FD32DA"/>
    <w:rsid w:val="24A5450D"/>
    <w:rsid w:val="261C1D17"/>
    <w:rsid w:val="27C54416"/>
    <w:rsid w:val="2C41672F"/>
    <w:rsid w:val="2D4140A2"/>
    <w:rsid w:val="313F5E3B"/>
    <w:rsid w:val="32A53DAB"/>
    <w:rsid w:val="3605119C"/>
    <w:rsid w:val="369D176C"/>
    <w:rsid w:val="3C50322D"/>
    <w:rsid w:val="3F6039C2"/>
    <w:rsid w:val="3FE68C54"/>
    <w:rsid w:val="42E35BED"/>
    <w:rsid w:val="445024EA"/>
    <w:rsid w:val="47A650EE"/>
    <w:rsid w:val="48D161AD"/>
    <w:rsid w:val="4A454E21"/>
    <w:rsid w:val="4AF84C86"/>
    <w:rsid w:val="4B8F2D9C"/>
    <w:rsid w:val="4C0C6736"/>
    <w:rsid w:val="4FBFBC5D"/>
    <w:rsid w:val="55E996F5"/>
    <w:rsid w:val="5623122D"/>
    <w:rsid w:val="587634E6"/>
    <w:rsid w:val="58BE5A4A"/>
    <w:rsid w:val="5A9277B6"/>
    <w:rsid w:val="5DE57F77"/>
    <w:rsid w:val="5ECD8592"/>
    <w:rsid w:val="5F830D3E"/>
    <w:rsid w:val="5F975359"/>
    <w:rsid w:val="5FF8EEEB"/>
    <w:rsid w:val="5FFFBE5E"/>
    <w:rsid w:val="623C6516"/>
    <w:rsid w:val="69316863"/>
    <w:rsid w:val="69A766A8"/>
    <w:rsid w:val="6A1040C2"/>
    <w:rsid w:val="6D420CB8"/>
    <w:rsid w:val="70293EEE"/>
    <w:rsid w:val="717861DB"/>
    <w:rsid w:val="73271E5E"/>
    <w:rsid w:val="76245C2A"/>
    <w:rsid w:val="7BF7ADDE"/>
    <w:rsid w:val="7CDE3ECD"/>
    <w:rsid w:val="7D7DB2D8"/>
    <w:rsid w:val="7E6203C2"/>
    <w:rsid w:val="7EF90D37"/>
    <w:rsid w:val="7F9FF486"/>
    <w:rsid w:val="7FDFAC95"/>
    <w:rsid w:val="7FEF2980"/>
    <w:rsid w:val="B3FDE661"/>
    <w:rsid w:val="B7FE78AA"/>
    <w:rsid w:val="FEAD139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仿宋" w:hAnsi="仿宋" w:eastAsia="方正仿宋_GBK" w:cs="Times New Roman"/>
      <w:kern w:val="2"/>
      <w:sz w:val="32"/>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123</dc:creator>
  <cp:lastModifiedBy>Administrator</cp:lastModifiedBy>
  <cp:lastPrinted>2022-01-11T15:19:00Z</cp:lastPrinted>
  <dcterms:modified xsi:type="dcterms:W3CDTF">2023-02-01T07:42:28Z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